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3B" w:rsidRDefault="003A633B"/>
    <w:p w:rsidR="00F51716" w:rsidRDefault="006D0F03">
      <w:r>
        <w:t xml:space="preserve">Con la entrada en vigencia de la Ley Nº 20.285 Sobre Acceso a la Información Pública, los órganos de la Administración del Estado, y como se señala en su Art. 1º </w:t>
      </w:r>
      <w:r w:rsidR="00DD3C3C">
        <w:t xml:space="preserve">…”regula el principio de transparencia de la función pública, el derecho de acceso a la información de los órganos de la Administración del Estado, los procedimientos para el ejercicio del derecho y para su amparo, y las excepciones a la publicidad de la información”. </w:t>
      </w:r>
    </w:p>
    <w:p w:rsidR="00DD3C3C" w:rsidRDefault="00DD3C3C"/>
    <w:p w:rsidR="000B6161" w:rsidRDefault="00DD3C3C">
      <w:r>
        <w:t>En vista de la aprobación de dicha Ley, el año 2015 el municipio firma un convenio con el Consejo para la Transparencia (CPL</w:t>
      </w:r>
      <w:r w:rsidR="00702BE5">
        <w:t>T), para la implementación del P</w:t>
      </w:r>
      <w:r>
        <w:t>ortal de Transparencia, y a través de</w:t>
      </w:r>
      <w:r w:rsidR="00716EA8">
        <w:t xml:space="preserve"> </w:t>
      </w:r>
      <w:r>
        <w:t>l</w:t>
      </w:r>
      <w:r w:rsidR="00716EA8">
        <w:t>os</w:t>
      </w:r>
      <w:r>
        <w:t xml:space="preserve"> Decreto</w:t>
      </w:r>
      <w:r w:rsidR="00716EA8">
        <w:t>s</w:t>
      </w:r>
      <w:r>
        <w:t xml:space="preserve"> Alcaldicio</w:t>
      </w:r>
      <w:r w:rsidR="00716EA8">
        <w:t>s</w:t>
      </w:r>
      <w:r>
        <w:t xml:space="preserve"> Nº 5553 de fecha 24 de Noviembre de 2015</w:t>
      </w:r>
      <w:r w:rsidR="00702BE5">
        <w:t>,</w:t>
      </w:r>
      <w:r w:rsidR="000B6161">
        <w:t xml:space="preserve"> se aprueba el Reglamento de Acceso a la Información Pública de la I. Municipalidad de Casablanca</w:t>
      </w:r>
      <w:r w:rsidR="00716EA8">
        <w:t xml:space="preserve"> y Nº 5912 de fecha 8 de agosto de 2018, se regula la función en el municipio</w:t>
      </w:r>
      <w:r w:rsidR="000B6161">
        <w:t>. Instrumentos vigentes a la fecha.</w:t>
      </w:r>
    </w:p>
    <w:p w:rsidR="000B6161" w:rsidRDefault="000B6161"/>
    <w:p w:rsidR="000B6161" w:rsidRPr="00BF13E4" w:rsidRDefault="000B6161" w:rsidP="00BF13E4">
      <w:pPr>
        <w:pStyle w:val="Prrafodelista"/>
        <w:numPr>
          <w:ilvl w:val="0"/>
          <w:numId w:val="3"/>
        </w:numPr>
        <w:rPr>
          <w:b/>
        </w:rPr>
      </w:pPr>
      <w:r w:rsidRPr="00BF13E4">
        <w:rPr>
          <w:b/>
        </w:rPr>
        <w:t>Transparencia Activa (TA)</w:t>
      </w:r>
    </w:p>
    <w:p w:rsidR="000B6161" w:rsidRDefault="000B6161">
      <w:r>
        <w:t>Se entiende por  TA la mantención permanente al público a través</w:t>
      </w:r>
      <w:r w:rsidR="00702BE5">
        <w:t xml:space="preserve"> en</w:t>
      </w:r>
      <w:r>
        <w:t xml:space="preserve"> medios electrónicos del municipio los siguientes antecedentes, los que deben ser actualizados a lo menos una vez al mes:</w:t>
      </w:r>
    </w:p>
    <w:p w:rsidR="000B6161" w:rsidRDefault="0091391A" w:rsidP="000B6161">
      <w:pPr>
        <w:pStyle w:val="Prrafodelista"/>
        <w:numPr>
          <w:ilvl w:val="0"/>
          <w:numId w:val="1"/>
        </w:numPr>
      </w:pPr>
      <w:r>
        <w:t>Actos y documentos publicados en el Diario Oficial.</w:t>
      </w:r>
    </w:p>
    <w:p w:rsidR="0091391A" w:rsidRDefault="0091391A" w:rsidP="000B6161">
      <w:pPr>
        <w:pStyle w:val="Prrafodelista"/>
        <w:numPr>
          <w:ilvl w:val="0"/>
          <w:numId w:val="1"/>
        </w:numPr>
      </w:pPr>
      <w:r>
        <w:t>Potestades y Marco Normativo</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Estructura orgánica y facultades, funciones y atribuciones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Personal y remuneraciones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Adquisiciones y contrataciones</w:t>
      </w:r>
    </w:p>
    <w:p w:rsidR="0091391A" w:rsidRPr="00D65D1C" w:rsidRDefault="0091391A" w:rsidP="000B6161">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Transferencias de fondos y aportes económicos entregados</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Actos y resoluciones con efectos sobre terceros (patentes, permisos, derechos, concesiones, concursos públicos y otros)</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Trámites ante el organismo</w:t>
      </w:r>
    </w:p>
    <w:p w:rsidR="0091391A" w:rsidRPr="00D65D1C" w:rsidRDefault="0091391A"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Subsidios y beneficios</w:t>
      </w:r>
    </w:p>
    <w:p w:rsidR="0091391A"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Mecanismos de participación ciudadana</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Presupuesto asignado y su ejecución</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Auditorías al ejercicio presupuestario y aclaraciones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Participación en otras entidades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Antecedentes preparatorios de normas jurídicas generales que afecten a empresas de menor tamaño</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Lobby y gestión de intereses</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Declaración de patrimonio e intereses Ley N°20.880</w:t>
      </w:r>
    </w:p>
    <w:p w:rsidR="00D65D1C" w:rsidRPr="00D65D1C"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Informe Anual a la SUBDERE</w:t>
      </w:r>
    </w:p>
    <w:p w:rsidR="00D65D1C" w:rsidRPr="00DF6E8A" w:rsidRDefault="00D65D1C" w:rsidP="0091391A">
      <w:pPr>
        <w:pStyle w:val="Prrafodelista"/>
        <w:numPr>
          <w:ilvl w:val="0"/>
          <w:numId w:val="1"/>
        </w:numPr>
        <w:rPr>
          <w:rStyle w:val="tematitle1"/>
          <w:rFonts w:asciiTheme="minorHAnsi" w:hAnsiTheme="minorHAnsi"/>
          <w:sz w:val="22"/>
          <w:szCs w:val="22"/>
        </w:rPr>
      </w:pPr>
      <w:r w:rsidRPr="00D65D1C">
        <w:rPr>
          <w:rStyle w:val="tematitle1"/>
          <w:rFonts w:asciiTheme="minorHAnsi" w:hAnsiTheme="minorHAnsi" w:cs="Arial"/>
          <w:color w:val="000000"/>
          <w:sz w:val="22"/>
          <w:szCs w:val="22"/>
        </w:rPr>
        <w:t>Otros Antecedentes (Concejo Municipal y Cuentas Públic</w:t>
      </w:r>
      <w:r>
        <w:rPr>
          <w:rStyle w:val="tematitle1"/>
          <w:rFonts w:asciiTheme="minorHAnsi" w:hAnsiTheme="minorHAnsi" w:cs="Arial"/>
          <w:color w:val="000000"/>
          <w:sz w:val="22"/>
          <w:szCs w:val="22"/>
        </w:rPr>
        <w:t>as)</w:t>
      </w:r>
    </w:p>
    <w:p w:rsidR="00DF6E8A" w:rsidRDefault="00DF6E8A" w:rsidP="00DF6E8A">
      <w:pPr>
        <w:pStyle w:val="Prrafodelista"/>
        <w:rPr>
          <w:rStyle w:val="tematitle1"/>
          <w:rFonts w:asciiTheme="minorHAnsi" w:hAnsiTheme="minorHAnsi" w:cs="Arial"/>
          <w:color w:val="000000"/>
          <w:sz w:val="22"/>
          <w:szCs w:val="22"/>
        </w:rPr>
      </w:pPr>
    </w:p>
    <w:p w:rsidR="004560B7" w:rsidRDefault="004560B7" w:rsidP="00DF6E8A">
      <w:pPr>
        <w:pStyle w:val="Prrafodelista"/>
        <w:rPr>
          <w:rStyle w:val="tematitle1"/>
          <w:rFonts w:asciiTheme="minorHAnsi" w:hAnsiTheme="minorHAnsi" w:cs="Arial"/>
          <w:b/>
          <w:color w:val="000000"/>
          <w:sz w:val="22"/>
          <w:szCs w:val="22"/>
        </w:rPr>
      </w:pPr>
    </w:p>
    <w:p w:rsidR="00DF6E8A" w:rsidRDefault="00DF6E8A" w:rsidP="00DF6E8A">
      <w:pPr>
        <w:pStyle w:val="Prrafodelista"/>
        <w:rPr>
          <w:rStyle w:val="tematitle1"/>
          <w:rFonts w:asciiTheme="minorHAnsi" w:hAnsiTheme="minorHAnsi" w:cs="Arial"/>
          <w:b/>
          <w:color w:val="000000"/>
          <w:sz w:val="22"/>
          <w:szCs w:val="22"/>
        </w:rPr>
      </w:pPr>
      <w:r w:rsidRPr="00DF6E8A">
        <w:rPr>
          <w:rStyle w:val="tematitle1"/>
          <w:rFonts w:asciiTheme="minorHAnsi" w:hAnsiTheme="minorHAnsi" w:cs="Arial"/>
          <w:b/>
          <w:color w:val="000000"/>
          <w:sz w:val="22"/>
          <w:szCs w:val="22"/>
        </w:rPr>
        <w:t>Información por Unidad</w:t>
      </w:r>
    </w:p>
    <w:p w:rsidR="00DF6E8A" w:rsidRPr="00DF6E8A" w:rsidRDefault="00DF6E8A" w:rsidP="00DF6E8A">
      <w:pPr>
        <w:pStyle w:val="Prrafodelista"/>
        <w:rPr>
          <w:rStyle w:val="tematitle1"/>
          <w:rFonts w:asciiTheme="minorHAnsi" w:hAnsiTheme="minorHAnsi"/>
          <w:b/>
          <w:sz w:val="22"/>
          <w:szCs w:val="22"/>
        </w:rPr>
      </w:pPr>
    </w:p>
    <w:p w:rsidR="00DF6E8A" w:rsidRDefault="00DF6E8A" w:rsidP="00DF6E8A">
      <w:pPr>
        <w:pStyle w:val="Prrafodelista"/>
        <w:rPr>
          <w:rStyle w:val="tematitle1"/>
          <w:rFonts w:asciiTheme="minorHAnsi" w:hAnsiTheme="minorHAnsi" w:cs="Arial"/>
          <w:color w:val="000000"/>
          <w:sz w:val="22"/>
          <w:szCs w:val="22"/>
        </w:rPr>
      </w:pPr>
    </w:p>
    <w:tbl>
      <w:tblPr>
        <w:tblW w:w="9072" w:type="dxa"/>
        <w:tblInd w:w="70" w:type="dxa"/>
        <w:tblCellMar>
          <w:left w:w="70" w:type="dxa"/>
          <w:right w:w="70" w:type="dxa"/>
        </w:tblCellMar>
        <w:tblLook w:val="04A0"/>
      </w:tblPr>
      <w:tblGrid>
        <w:gridCol w:w="2393"/>
        <w:gridCol w:w="5203"/>
        <w:gridCol w:w="1476"/>
      </w:tblGrid>
      <w:tr w:rsidR="00DF6E8A" w:rsidRPr="00DF6E8A" w:rsidTr="00DF6E8A">
        <w:trPr>
          <w:trHeight w:val="300"/>
        </w:trPr>
        <w:tc>
          <w:tcPr>
            <w:tcW w:w="2393" w:type="dxa"/>
            <w:tcBorders>
              <w:top w:val="nil"/>
              <w:left w:val="nil"/>
              <w:bottom w:val="nil"/>
              <w:right w:val="nil"/>
            </w:tcBorders>
            <w:shd w:val="clear" w:color="000000" w:fill="4F81BD"/>
            <w:noWrap/>
            <w:vAlign w:val="bottom"/>
            <w:hideMark/>
          </w:tcPr>
          <w:p w:rsidR="00DF6E8A" w:rsidRPr="00DF6E8A" w:rsidRDefault="00DF6E8A" w:rsidP="00DF6E8A">
            <w:pPr>
              <w:spacing w:after="0" w:line="240" w:lineRule="auto"/>
              <w:jc w:val="center"/>
              <w:rPr>
                <w:rFonts w:ascii="Calibri" w:eastAsia="Times New Roman" w:hAnsi="Calibri" w:cs="Times New Roman"/>
                <w:b/>
                <w:bCs/>
                <w:color w:val="FFFFFF"/>
                <w:sz w:val="20"/>
                <w:szCs w:val="20"/>
                <w:lang w:eastAsia="es-ES"/>
              </w:rPr>
            </w:pPr>
            <w:r w:rsidRPr="00DF6E8A">
              <w:rPr>
                <w:rFonts w:ascii="Calibri" w:eastAsia="Times New Roman" w:hAnsi="Calibri" w:cs="Times New Roman"/>
                <w:b/>
                <w:bCs/>
                <w:color w:val="FFFFFF"/>
                <w:sz w:val="20"/>
                <w:szCs w:val="20"/>
                <w:lang w:val="es-CL" w:eastAsia="es-ES"/>
              </w:rPr>
              <w:t>Unidad</w:t>
            </w:r>
          </w:p>
        </w:tc>
        <w:tc>
          <w:tcPr>
            <w:tcW w:w="5203" w:type="dxa"/>
            <w:tcBorders>
              <w:top w:val="nil"/>
              <w:left w:val="nil"/>
              <w:bottom w:val="nil"/>
              <w:right w:val="nil"/>
            </w:tcBorders>
            <w:shd w:val="clear" w:color="000000" w:fill="4F81BD"/>
            <w:noWrap/>
            <w:vAlign w:val="bottom"/>
            <w:hideMark/>
          </w:tcPr>
          <w:p w:rsidR="00DF6E8A" w:rsidRPr="00DF6E8A" w:rsidRDefault="00DF6E8A" w:rsidP="00DF6E8A">
            <w:pPr>
              <w:spacing w:after="0" w:line="240" w:lineRule="auto"/>
              <w:jc w:val="center"/>
              <w:rPr>
                <w:rFonts w:ascii="Calibri" w:eastAsia="Times New Roman" w:hAnsi="Calibri" w:cs="Times New Roman"/>
                <w:b/>
                <w:bCs/>
                <w:color w:val="FFFFFF"/>
                <w:sz w:val="20"/>
                <w:szCs w:val="20"/>
                <w:lang w:eastAsia="es-ES"/>
              </w:rPr>
            </w:pPr>
            <w:r w:rsidRPr="00DF6E8A">
              <w:rPr>
                <w:rFonts w:ascii="Calibri" w:eastAsia="Times New Roman" w:hAnsi="Calibri" w:cs="Times New Roman"/>
                <w:b/>
                <w:bCs/>
                <w:color w:val="FFFFFF"/>
                <w:sz w:val="20"/>
                <w:szCs w:val="20"/>
                <w:lang w:val="es-CL" w:eastAsia="es-ES"/>
              </w:rPr>
              <w:t>Materia a informar</w:t>
            </w:r>
          </w:p>
        </w:tc>
        <w:tc>
          <w:tcPr>
            <w:tcW w:w="1476" w:type="dxa"/>
            <w:tcBorders>
              <w:top w:val="nil"/>
              <w:left w:val="nil"/>
              <w:bottom w:val="nil"/>
              <w:right w:val="nil"/>
            </w:tcBorders>
            <w:shd w:val="clear" w:color="000000" w:fill="4F81BD"/>
            <w:noWrap/>
            <w:vAlign w:val="bottom"/>
            <w:hideMark/>
          </w:tcPr>
          <w:p w:rsidR="00DF6E8A" w:rsidRPr="00DF6E8A" w:rsidRDefault="00DF6E8A" w:rsidP="00DF6E8A">
            <w:pPr>
              <w:spacing w:after="0" w:line="240" w:lineRule="auto"/>
              <w:jc w:val="center"/>
              <w:rPr>
                <w:rFonts w:ascii="Calibri" w:eastAsia="Times New Roman" w:hAnsi="Calibri" w:cs="Times New Roman"/>
                <w:b/>
                <w:bCs/>
                <w:color w:val="FFFFFF"/>
                <w:sz w:val="20"/>
                <w:szCs w:val="20"/>
                <w:lang w:eastAsia="es-ES"/>
              </w:rPr>
            </w:pPr>
            <w:r w:rsidRPr="00DF6E8A">
              <w:rPr>
                <w:rFonts w:ascii="Calibri" w:eastAsia="Times New Roman" w:hAnsi="Calibri" w:cs="Times New Roman"/>
                <w:b/>
                <w:bCs/>
                <w:color w:val="FFFFFF"/>
                <w:sz w:val="20"/>
                <w:szCs w:val="20"/>
                <w:lang w:eastAsia="es-ES"/>
              </w:rPr>
              <w:t>Cumplimiento</w:t>
            </w:r>
          </w:p>
        </w:tc>
      </w:tr>
      <w:tr w:rsidR="00DF6E8A" w:rsidRPr="00DF6E8A" w:rsidTr="00DF6E8A">
        <w:trPr>
          <w:trHeight w:val="525"/>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Dirección de Administración y Finanzas</w:t>
            </w: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Información relacionada a presupuesto: Pasivos, BEP, Estados de Situación Financiera</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auto" w:fill="auto"/>
            <w:vAlign w:val="bottom"/>
            <w:hideMark/>
          </w:tcPr>
          <w:p w:rsidR="00716EA8"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Arriendos, compras menores a 3 UTM</w:t>
            </w:r>
          </w:p>
          <w:p w:rsidR="00DF6E8A" w:rsidRDefault="00716EA8" w:rsidP="00DF6E8A">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Patentes comerciales y permisos municipales</w:t>
            </w:r>
          </w:p>
          <w:p w:rsidR="00716EA8" w:rsidRDefault="00716EA8" w:rsidP="00716EA8">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Transferencias no reguladas por de la Ley Nº 19.862</w:t>
            </w:r>
          </w:p>
          <w:p w:rsidR="008B25DC" w:rsidRPr="00DF6E8A" w:rsidRDefault="008B25DC" w:rsidP="00716EA8">
            <w:pPr>
              <w:spacing w:after="0" w:line="240" w:lineRule="auto"/>
              <w:rPr>
                <w:rFonts w:ascii="Calibri" w:eastAsia="Times New Roman" w:hAnsi="Calibri" w:cs="Times New Roman"/>
                <w:color w:val="000000"/>
                <w:sz w:val="20"/>
                <w:szCs w:val="20"/>
                <w:lang w:eastAsia="es-ES"/>
              </w:rPr>
            </w:pP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300"/>
        </w:trPr>
        <w:tc>
          <w:tcPr>
            <w:tcW w:w="2393" w:type="dxa"/>
            <w:tcBorders>
              <w:top w:val="nil"/>
              <w:left w:val="nil"/>
              <w:bottom w:val="nil"/>
              <w:right w:val="nil"/>
            </w:tcBorders>
            <w:shd w:val="clear" w:color="000000" w:fill="DBE5F1"/>
            <w:noWrap/>
            <w:vAlign w:val="bottom"/>
            <w:hideMark/>
          </w:tcPr>
          <w:p w:rsidR="008B25DC" w:rsidRDefault="008B25DC" w:rsidP="00DF6E8A">
            <w:pPr>
              <w:spacing w:after="0" w:line="240" w:lineRule="auto"/>
              <w:rPr>
                <w:rFonts w:ascii="Calibri" w:eastAsia="Times New Roman" w:hAnsi="Calibri" w:cs="Times New Roman"/>
                <w:color w:val="000000"/>
                <w:sz w:val="20"/>
                <w:szCs w:val="20"/>
                <w:lang w:val="es-CL" w:eastAsia="es-ES"/>
              </w:rPr>
            </w:pPr>
          </w:p>
          <w:p w:rsidR="008B25DC" w:rsidRPr="008B25DC"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DIDECO</w:t>
            </w:r>
          </w:p>
        </w:tc>
        <w:tc>
          <w:tcPr>
            <w:tcW w:w="5203" w:type="dxa"/>
            <w:tcBorders>
              <w:top w:val="nil"/>
              <w:left w:val="nil"/>
              <w:bottom w:val="nil"/>
              <w:right w:val="nil"/>
            </w:tcBorders>
            <w:shd w:val="clear" w:color="000000" w:fill="DBE5F1"/>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Subsidios y beneficios propios</w:t>
            </w:r>
          </w:p>
        </w:tc>
        <w:tc>
          <w:tcPr>
            <w:tcW w:w="1476"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000000" w:fill="DBE5F1"/>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 </w:t>
            </w:r>
          </w:p>
        </w:tc>
        <w:tc>
          <w:tcPr>
            <w:tcW w:w="5203" w:type="dxa"/>
            <w:tcBorders>
              <w:top w:val="nil"/>
              <w:left w:val="nil"/>
              <w:bottom w:val="nil"/>
              <w:right w:val="nil"/>
            </w:tcBorders>
            <w:shd w:val="clear" w:color="000000" w:fill="DBE5F1"/>
            <w:vAlign w:val="bottom"/>
            <w:hideMark/>
          </w:tcPr>
          <w:p w:rsid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Nómina Beneficiarios</w:t>
            </w: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1476" w:type="dxa"/>
            <w:tcBorders>
              <w:top w:val="nil"/>
              <w:left w:val="nil"/>
              <w:bottom w:val="nil"/>
              <w:right w:val="nil"/>
            </w:tcBorders>
            <w:shd w:val="clear" w:color="000000" w:fill="DBE5F1"/>
            <w:noWrap/>
            <w:vAlign w:val="bottom"/>
            <w:hideMark/>
          </w:tcPr>
          <w:p w:rsidR="00DF6E8A" w:rsidRDefault="00DF6E8A" w:rsidP="00145E4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p w:rsidR="00145E4A" w:rsidRPr="00DF6E8A" w:rsidRDefault="00145E4A" w:rsidP="00145E4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Departamento de Educación</w:t>
            </w:r>
          </w:p>
        </w:tc>
        <w:tc>
          <w:tcPr>
            <w:tcW w:w="5203" w:type="dxa"/>
            <w:tcBorders>
              <w:top w:val="nil"/>
              <w:left w:val="nil"/>
              <w:bottom w:val="nil"/>
              <w:right w:val="nil"/>
            </w:tcBorders>
            <w:shd w:val="clear" w:color="auto" w:fill="auto"/>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val="es-CL" w:eastAsia="es-ES"/>
              </w:rPr>
              <w:t>Remuneraciones y Escala de Remuneraciones del Personal</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auto" w:fill="auto"/>
            <w:vAlign w:val="bottom"/>
            <w:hideMark/>
          </w:tcPr>
          <w:p w:rsidR="00145E4A" w:rsidRPr="00DF6E8A" w:rsidRDefault="00DF6E8A" w:rsidP="00145E4A">
            <w:pPr>
              <w:spacing w:after="0" w:line="240" w:lineRule="auto"/>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Arriendos, compras menores a 3 UTM</w:t>
            </w:r>
          </w:p>
        </w:tc>
        <w:tc>
          <w:tcPr>
            <w:tcW w:w="1476" w:type="dxa"/>
            <w:tcBorders>
              <w:top w:val="nil"/>
              <w:left w:val="nil"/>
              <w:bottom w:val="nil"/>
              <w:right w:val="nil"/>
            </w:tcBorders>
            <w:shd w:val="clear" w:color="auto" w:fill="auto"/>
            <w:noWrap/>
            <w:vAlign w:val="bottom"/>
            <w:hideMark/>
          </w:tcPr>
          <w:p w:rsidR="00DF6E8A" w:rsidRPr="00DF6E8A" w:rsidRDefault="00DF6E8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525"/>
        </w:trPr>
        <w:tc>
          <w:tcPr>
            <w:tcW w:w="2393" w:type="dxa"/>
            <w:tcBorders>
              <w:top w:val="nil"/>
              <w:left w:val="nil"/>
              <w:bottom w:val="nil"/>
              <w:right w:val="nil"/>
            </w:tcBorders>
            <w:shd w:val="clear" w:color="000000" w:fill="DBE5F1"/>
            <w:noWrap/>
            <w:vAlign w:val="bottom"/>
            <w:hideMark/>
          </w:tcPr>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Dirección de Salud</w:t>
            </w:r>
          </w:p>
          <w:p w:rsidR="008B25DC" w:rsidRPr="00DF6E8A" w:rsidRDefault="008B25DC"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000000" w:fill="DBE5F1"/>
            <w:vAlign w:val="bottom"/>
            <w:hideMark/>
          </w:tcPr>
          <w:p w:rsidR="00145E4A" w:rsidRDefault="00145E4A" w:rsidP="008B25DC">
            <w:pPr>
              <w:spacing w:after="0" w:line="240" w:lineRule="auto"/>
              <w:rPr>
                <w:rFonts w:ascii="Calibri" w:eastAsia="Times New Roman" w:hAnsi="Calibri" w:cs="Times New Roman"/>
                <w:color w:val="000000"/>
                <w:sz w:val="20"/>
                <w:szCs w:val="20"/>
                <w:lang w:val="es-CL" w:eastAsia="es-ES"/>
              </w:rPr>
            </w:pPr>
          </w:p>
          <w:p w:rsidR="008B25DC" w:rsidRDefault="00DF6E8A" w:rsidP="008B25DC">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Arriendos, compras menores a 3 UTM, Remuneraciones y Escala de Remuneraciones del Personal</w:t>
            </w:r>
          </w:p>
          <w:p w:rsidR="00145E4A" w:rsidRPr="00DF6E8A" w:rsidRDefault="00145E4A" w:rsidP="008B25DC">
            <w:pPr>
              <w:spacing w:after="0" w:line="240" w:lineRule="auto"/>
              <w:rPr>
                <w:rFonts w:ascii="Calibri" w:eastAsia="Times New Roman" w:hAnsi="Calibri" w:cs="Times New Roman"/>
                <w:color w:val="000000"/>
                <w:sz w:val="20"/>
                <w:szCs w:val="20"/>
                <w:lang w:eastAsia="es-ES"/>
              </w:rPr>
            </w:pPr>
          </w:p>
        </w:tc>
        <w:tc>
          <w:tcPr>
            <w:tcW w:w="1476" w:type="dxa"/>
            <w:tcBorders>
              <w:top w:val="nil"/>
              <w:left w:val="nil"/>
              <w:bottom w:val="nil"/>
              <w:right w:val="nil"/>
            </w:tcBorders>
            <w:shd w:val="clear" w:color="000000" w:fill="DBE5F1"/>
            <w:noWrap/>
            <w:vAlign w:val="bottom"/>
            <w:hideMark/>
          </w:tcPr>
          <w:p w:rsid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p w:rsidR="00145E4A" w:rsidRPr="00DF6E8A" w:rsidRDefault="00145E4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145E4A" w:rsidRDefault="00145E4A" w:rsidP="008B25DC">
            <w:pPr>
              <w:spacing w:after="0" w:line="240" w:lineRule="auto"/>
              <w:rPr>
                <w:rFonts w:ascii="Calibri" w:eastAsia="Times New Roman" w:hAnsi="Calibri" w:cs="Times New Roman"/>
                <w:color w:val="000000"/>
                <w:sz w:val="20"/>
                <w:szCs w:val="20"/>
                <w:lang w:val="es-CL" w:eastAsia="es-ES"/>
              </w:rPr>
            </w:pPr>
          </w:p>
          <w:p w:rsidR="008B25DC" w:rsidRDefault="00DF6E8A" w:rsidP="008B25DC">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DOM</w:t>
            </w:r>
          </w:p>
          <w:p w:rsidR="00145E4A" w:rsidRPr="00DF6E8A" w:rsidRDefault="00145E4A" w:rsidP="008B25DC">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auto" w:fill="auto"/>
            <w:vAlign w:val="bottom"/>
            <w:hideMark/>
          </w:tcPr>
          <w:p w:rsidR="008B25DC" w:rsidRDefault="00DF6E8A" w:rsidP="00145E4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Permisos de Obras</w:t>
            </w:r>
          </w:p>
          <w:p w:rsidR="00145E4A" w:rsidRPr="008B25DC" w:rsidRDefault="00145E4A" w:rsidP="00145E4A">
            <w:pPr>
              <w:spacing w:after="0" w:line="240" w:lineRule="auto"/>
              <w:rPr>
                <w:rFonts w:ascii="Calibri" w:eastAsia="Times New Roman" w:hAnsi="Calibri" w:cs="Times New Roman"/>
                <w:color w:val="000000"/>
                <w:sz w:val="20"/>
                <w:szCs w:val="20"/>
                <w:lang w:val="es-CL" w:eastAsia="es-ES"/>
              </w:rPr>
            </w:pPr>
          </w:p>
        </w:tc>
        <w:tc>
          <w:tcPr>
            <w:tcW w:w="1476" w:type="dxa"/>
            <w:tcBorders>
              <w:top w:val="nil"/>
              <w:left w:val="nil"/>
              <w:bottom w:val="nil"/>
              <w:right w:val="nil"/>
            </w:tcBorders>
            <w:shd w:val="clear" w:color="auto" w:fill="auto"/>
            <w:noWrap/>
            <w:vAlign w:val="bottom"/>
            <w:hideMark/>
          </w:tcPr>
          <w:p w:rsid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p w:rsidR="00145E4A" w:rsidRPr="00DF6E8A" w:rsidRDefault="00145E4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525"/>
        </w:trPr>
        <w:tc>
          <w:tcPr>
            <w:tcW w:w="2393" w:type="dxa"/>
            <w:tcBorders>
              <w:top w:val="nil"/>
              <w:left w:val="nil"/>
              <w:bottom w:val="nil"/>
              <w:right w:val="nil"/>
            </w:tcBorders>
            <w:shd w:val="clear" w:color="000000" w:fill="DBE5F1"/>
            <w:noWrap/>
            <w:vAlign w:val="bottom"/>
            <w:hideMark/>
          </w:tcPr>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Oficina de Transparencia</w:t>
            </w:r>
          </w:p>
          <w:p w:rsidR="00145E4A" w:rsidRDefault="00145E4A" w:rsidP="00DF6E8A">
            <w:pPr>
              <w:spacing w:after="0" w:line="240" w:lineRule="auto"/>
              <w:rPr>
                <w:rFonts w:ascii="Calibri" w:eastAsia="Times New Roman" w:hAnsi="Calibri" w:cs="Times New Roman"/>
                <w:color w:val="000000"/>
                <w:sz w:val="20"/>
                <w:szCs w:val="20"/>
                <w:lang w:val="es-CL" w:eastAsia="es-ES"/>
              </w:rPr>
            </w:pP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000000" w:fill="DBE5F1"/>
            <w:vAlign w:val="bottom"/>
            <w:hideMark/>
          </w:tcPr>
          <w:p w:rsidR="00145E4A" w:rsidRDefault="00145E4A" w:rsidP="00DF6E8A">
            <w:pPr>
              <w:spacing w:after="0" w:line="240" w:lineRule="auto"/>
              <w:rPr>
                <w:rFonts w:ascii="Calibri" w:eastAsia="Times New Roman" w:hAnsi="Calibri" w:cs="Times New Roman"/>
                <w:color w:val="000000"/>
                <w:sz w:val="20"/>
                <w:szCs w:val="20"/>
                <w:lang w:val="es-CL" w:eastAsia="es-ES"/>
              </w:rPr>
            </w:pPr>
          </w:p>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Encargado de la publicación de la información generada por las unidades municipales</w:t>
            </w: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1476" w:type="dxa"/>
            <w:tcBorders>
              <w:top w:val="nil"/>
              <w:left w:val="nil"/>
              <w:bottom w:val="nil"/>
              <w:right w:val="nil"/>
            </w:tcBorders>
            <w:shd w:val="clear" w:color="000000" w:fill="DBE5F1"/>
            <w:noWrap/>
            <w:vAlign w:val="bottom"/>
            <w:hideMark/>
          </w:tcPr>
          <w:p w:rsidR="00DF6E8A" w:rsidRDefault="00DF6E8A" w:rsidP="00DF6E8A">
            <w:pPr>
              <w:spacing w:after="0" w:line="240" w:lineRule="auto"/>
              <w:jc w:val="center"/>
              <w:rPr>
                <w:rFonts w:ascii="Calibri" w:eastAsia="Times New Roman" w:hAnsi="Calibri" w:cs="Times New Roman"/>
                <w:color w:val="000000"/>
                <w:lang w:eastAsia="es-ES"/>
              </w:rPr>
            </w:pPr>
            <w:r w:rsidRPr="00DF6E8A">
              <w:rPr>
                <w:rFonts w:ascii="Calibri" w:eastAsia="Times New Roman" w:hAnsi="Calibri" w:cs="Times New Roman"/>
                <w:color w:val="000000"/>
                <w:lang w:eastAsia="es-ES"/>
              </w:rPr>
              <w:t>100%</w:t>
            </w:r>
          </w:p>
          <w:p w:rsidR="00145E4A" w:rsidRPr="00DF6E8A" w:rsidRDefault="00145E4A" w:rsidP="00DF6E8A">
            <w:pPr>
              <w:spacing w:after="0" w:line="240" w:lineRule="auto"/>
              <w:jc w:val="center"/>
              <w:rPr>
                <w:rFonts w:ascii="Calibri" w:eastAsia="Times New Roman" w:hAnsi="Calibri" w:cs="Times New Roman"/>
                <w:color w:val="000000"/>
                <w:lang w:eastAsia="es-ES"/>
              </w:rPr>
            </w:pPr>
          </w:p>
        </w:tc>
      </w:tr>
      <w:tr w:rsidR="00DF6E8A" w:rsidRPr="00DF6E8A" w:rsidTr="00DF6E8A">
        <w:trPr>
          <w:trHeight w:val="300"/>
        </w:trPr>
        <w:tc>
          <w:tcPr>
            <w:tcW w:w="2393" w:type="dxa"/>
            <w:tcBorders>
              <w:top w:val="nil"/>
              <w:left w:val="nil"/>
              <w:bottom w:val="nil"/>
              <w:right w:val="nil"/>
            </w:tcBorders>
            <w:shd w:val="clear" w:color="auto" w:fill="auto"/>
            <w:noWrap/>
            <w:vAlign w:val="bottom"/>
            <w:hideMark/>
          </w:tcPr>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RRHH</w:t>
            </w: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auto" w:fill="auto"/>
            <w:vAlign w:val="bottom"/>
            <w:hideMark/>
          </w:tcPr>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Remuneraciones y Escala de Remuneraciones del Personal</w:t>
            </w: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1476" w:type="dxa"/>
            <w:tcBorders>
              <w:top w:val="nil"/>
              <w:left w:val="nil"/>
              <w:bottom w:val="nil"/>
              <w:right w:val="nil"/>
            </w:tcBorders>
            <w:shd w:val="clear" w:color="auto" w:fill="auto"/>
            <w:noWrap/>
            <w:vAlign w:val="bottom"/>
            <w:hideMark/>
          </w:tcPr>
          <w:p w:rsid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p w:rsidR="00145E4A" w:rsidRPr="00DF6E8A" w:rsidRDefault="00145E4A" w:rsidP="00DF6E8A">
            <w:pPr>
              <w:spacing w:after="0" w:line="240" w:lineRule="auto"/>
              <w:jc w:val="center"/>
              <w:rPr>
                <w:rFonts w:ascii="Calibri" w:eastAsia="Times New Roman" w:hAnsi="Calibri" w:cs="Times New Roman"/>
                <w:color w:val="000000"/>
                <w:sz w:val="20"/>
                <w:szCs w:val="20"/>
                <w:lang w:eastAsia="es-ES"/>
              </w:rPr>
            </w:pPr>
          </w:p>
        </w:tc>
      </w:tr>
      <w:tr w:rsidR="00DF6E8A" w:rsidRPr="00DF6E8A" w:rsidTr="00DF6E8A">
        <w:trPr>
          <w:trHeight w:val="300"/>
        </w:trPr>
        <w:tc>
          <w:tcPr>
            <w:tcW w:w="2393" w:type="dxa"/>
            <w:tcBorders>
              <w:top w:val="nil"/>
              <w:left w:val="nil"/>
              <w:bottom w:val="nil"/>
              <w:right w:val="nil"/>
            </w:tcBorders>
            <w:shd w:val="clear" w:color="000000" w:fill="DBE5F1"/>
            <w:noWrap/>
            <w:vAlign w:val="bottom"/>
            <w:hideMark/>
          </w:tcPr>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Secretaría Municipal</w:t>
            </w: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5203" w:type="dxa"/>
            <w:tcBorders>
              <w:top w:val="nil"/>
              <w:left w:val="nil"/>
              <w:bottom w:val="nil"/>
              <w:right w:val="nil"/>
            </w:tcBorders>
            <w:shd w:val="clear" w:color="000000" w:fill="DBE5F1"/>
            <w:vAlign w:val="bottom"/>
            <w:hideMark/>
          </w:tcPr>
          <w:p w:rsidR="00DF6E8A" w:rsidRDefault="00DF6E8A" w:rsidP="00DF6E8A">
            <w:pPr>
              <w:spacing w:after="0" w:line="240" w:lineRule="auto"/>
              <w:rPr>
                <w:rFonts w:ascii="Calibri" w:eastAsia="Times New Roman" w:hAnsi="Calibri" w:cs="Times New Roman"/>
                <w:color w:val="000000"/>
                <w:sz w:val="20"/>
                <w:szCs w:val="20"/>
                <w:lang w:val="es-CL" w:eastAsia="es-ES"/>
              </w:rPr>
            </w:pPr>
            <w:r w:rsidRPr="00DF6E8A">
              <w:rPr>
                <w:rFonts w:ascii="Calibri" w:eastAsia="Times New Roman" w:hAnsi="Calibri" w:cs="Times New Roman"/>
                <w:color w:val="000000"/>
                <w:sz w:val="20"/>
                <w:szCs w:val="20"/>
                <w:lang w:val="es-CL" w:eastAsia="es-ES"/>
              </w:rPr>
              <w:t>Reglamentos Municipales</w:t>
            </w:r>
          </w:p>
          <w:p w:rsidR="00145E4A" w:rsidRPr="00DF6E8A" w:rsidRDefault="00145E4A" w:rsidP="00DF6E8A">
            <w:pPr>
              <w:spacing w:after="0" w:line="240" w:lineRule="auto"/>
              <w:rPr>
                <w:rFonts w:ascii="Calibri" w:eastAsia="Times New Roman" w:hAnsi="Calibri" w:cs="Times New Roman"/>
                <w:color w:val="000000"/>
                <w:sz w:val="20"/>
                <w:szCs w:val="20"/>
                <w:lang w:eastAsia="es-ES"/>
              </w:rPr>
            </w:pPr>
          </w:p>
        </w:tc>
        <w:tc>
          <w:tcPr>
            <w:tcW w:w="1476" w:type="dxa"/>
            <w:tcBorders>
              <w:top w:val="nil"/>
              <w:left w:val="nil"/>
              <w:bottom w:val="nil"/>
              <w:right w:val="nil"/>
            </w:tcBorders>
            <w:shd w:val="clear" w:color="000000" w:fill="DBE5F1"/>
            <w:noWrap/>
            <w:vAlign w:val="bottom"/>
            <w:hideMark/>
          </w:tcPr>
          <w:p w:rsidR="00DF6E8A" w:rsidRDefault="00DF6E8A" w:rsidP="00DF6E8A">
            <w:pPr>
              <w:spacing w:after="0" w:line="240" w:lineRule="auto"/>
              <w:jc w:val="center"/>
              <w:rPr>
                <w:rFonts w:ascii="Calibri" w:eastAsia="Times New Roman" w:hAnsi="Calibri" w:cs="Times New Roman"/>
                <w:color w:val="000000"/>
                <w:sz w:val="20"/>
                <w:szCs w:val="20"/>
                <w:lang w:eastAsia="es-ES"/>
              </w:rPr>
            </w:pPr>
            <w:r w:rsidRPr="00DF6E8A">
              <w:rPr>
                <w:rFonts w:ascii="Calibri" w:eastAsia="Times New Roman" w:hAnsi="Calibri" w:cs="Times New Roman"/>
                <w:color w:val="000000"/>
                <w:sz w:val="20"/>
                <w:szCs w:val="20"/>
                <w:lang w:eastAsia="es-ES"/>
              </w:rPr>
              <w:t>100%</w:t>
            </w:r>
          </w:p>
          <w:p w:rsidR="00145E4A" w:rsidRPr="00DF6E8A" w:rsidRDefault="00145E4A" w:rsidP="00DF6E8A">
            <w:pPr>
              <w:spacing w:after="0" w:line="240" w:lineRule="auto"/>
              <w:jc w:val="center"/>
              <w:rPr>
                <w:rFonts w:ascii="Calibri" w:eastAsia="Times New Roman" w:hAnsi="Calibri" w:cs="Times New Roman"/>
                <w:color w:val="000000"/>
                <w:sz w:val="20"/>
                <w:szCs w:val="20"/>
                <w:lang w:eastAsia="es-ES"/>
              </w:rPr>
            </w:pPr>
          </w:p>
        </w:tc>
      </w:tr>
    </w:tbl>
    <w:p w:rsidR="00DF6E8A" w:rsidRDefault="00DF6E8A" w:rsidP="00DF6E8A">
      <w:pPr>
        <w:pStyle w:val="Prrafodelista"/>
        <w:rPr>
          <w:rStyle w:val="tematitle1"/>
          <w:rFonts w:asciiTheme="minorHAnsi" w:hAnsiTheme="minorHAnsi"/>
          <w:sz w:val="22"/>
          <w:szCs w:val="22"/>
        </w:rPr>
      </w:pPr>
    </w:p>
    <w:p w:rsidR="00DF6E8A" w:rsidRPr="00DF6E8A" w:rsidRDefault="00DF6E8A" w:rsidP="00DF6E8A">
      <w:pPr>
        <w:rPr>
          <w:rStyle w:val="tematitle1"/>
          <w:rFonts w:asciiTheme="minorHAnsi" w:hAnsiTheme="minorHAnsi"/>
          <w:sz w:val="22"/>
          <w:szCs w:val="22"/>
        </w:rPr>
      </w:pPr>
      <w:r w:rsidRPr="00DF6E8A">
        <w:rPr>
          <w:rStyle w:val="tematitle1"/>
          <w:rFonts w:asciiTheme="minorHAnsi" w:hAnsiTheme="minorHAnsi"/>
          <w:sz w:val="22"/>
          <w:szCs w:val="22"/>
        </w:rPr>
        <w:t>Todas las unidades dan cumplimiento a la entrega de la información que debe ser publicada y que debe estar permanentemente a disposición del público.</w:t>
      </w:r>
    </w:p>
    <w:p w:rsidR="00BE74CD" w:rsidRDefault="00BE74CD"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DF6E8A" w:rsidRDefault="00DF6E8A" w:rsidP="00D65D1C">
      <w:pPr>
        <w:ind w:left="360"/>
      </w:pPr>
    </w:p>
    <w:p w:rsidR="00B41BCF" w:rsidRDefault="00B41BCF" w:rsidP="00DF6E8A">
      <w:pPr>
        <w:rPr>
          <w:b/>
        </w:rPr>
      </w:pPr>
    </w:p>
    <w:p w:rsidR="004C074A" w:rsidRPr="00BF13E4" w:rsidRDefault="004C074A" w:rsidP="00BF13E4">
      <w:pPr>
        <w:pStyle w:val="Prrafodelista"/>
        <w:numPr>
          <w:ilvl w:val="0"/>
          <w:numId w:val="3"/>
        </w:numPr>
        <w:rPr>
          <w:b/>
        </w:rPr>
      </w:pPr>
      <w:r w:rsidRPr="00BF13E4">
        <w:rPr>
          <w:b/>
        </w:rPr>
        <w:t xml:space="preserve">Derecho de Acceso a la Información </w:t>
      </w:r>
    </w:p>
    <w:p w:rsidR="00D65D1C" w:rsidRDefault="004C074A" w:rsidP="007339D7">
      <w:r>
        <w:t>Tal como describe su nombre es el Derecho de acceder a las informaciones contenidas en actos, resoluciones, actas, expedientes, contratos y acuerdos, así como a toda información elaborada con presupuesto público, cualquiera sea el formato o soporte en que se contenga, salvo las excepciones legales.</w:t>
      </w:r>
    </w:p>
    <w:p w:rsidR="006232B2" w:rsidRDefault="004C074A" w:rsidP="004560B7">
      <w:r>
        <w:t xml:space="preserve">Durante el </w:t>
      </w:r>
      <w:r w:rsidR="00145E4A">
        <w:t>Segundo</w:t>
      </w:r>
      <w:r>
        <w:t xml:space="preserve"> Semestre del año 201</w:t>
      </w:r>
      <w:r w:rsidR="0094097A">
        <w:t>8</w:t>
      </w:r>
      <w:r>
        <w:t xml:space="preserve"> fueron recibidas </w:t>
      </w:r>
      <w:r w:rsidR="006232B2">
        <w:t xml:space="preserve">un total de </w:t>
      </w:r>
      <w:r w:rsidR="00BE74CD">
        <w:t>9</w:t>
      </w:r>
      <w:r w:rsidR="00D66B61">
        <w:t>0</w:t>
      </w:r>
      <w:r w:rsidR="006232B2">
        <w:t xml:space="preserve"> Solicitudes de Acceso a la Información (SAI), cuyo tratamiento ha sido el siguiente:</w:t>
      </w:r>
    </w:p>
    <w:p w:rsidR="00351D84" w:rsidRDefault="00351D84" w:rsidP="00D65D1C">
      <w:pPr>
        <w:ind w:left="360"/>
      </w:pPr>
    </w:p>
    <w:tbl>
      <w:tblPr>
        <w:tblW w:w="5989" w:type="dxa"/>
        <w:tblInd w:w="1313" w:type="dxa"/>
        <w:tblCellMar>
          <w:left w:w="70" w:type="dxa"/>
          <w:right w:w="70" w:type="dxa"/>
        </w:tblCellMar>
        <w:tblLook w:val="04A0"/>
      </w:tblPr>
      <w:tblGrid>
        <w:gridCol w:w="1615"/>
        <w:gridCol w:w="1458"/>
        <w:gridCol w:w="1458"/>
        <w:gridCol w:w="1458"/>
      </w:tblGrid>
      <w:tr w:rsidR="00E54D73" w:rsidRPr="00351D84" w:rsidTr="00E54D73">
        <w:trPr>
          <w:trHeight w:val="314"/>
        </w:trPr>
        <w:tc>
          <w:tcPr>
            <w:tcW w:w="1615"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MES</w:t>
            </w:r>
          </w:p>
        </w:tc>
        <w:tc>
          <w:tcPr>
            <w:tcW w:w="1458"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2016</w:t>
            </w:r>
          </w:p>
        </w:tc>
        <w:tc>
          <w:tcPr>
            <w:tcW w:w="1458"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2017</w:t>
            </w:r>
          </w:p>
        </w:tc>
        <w:tc>
          <w:tcPr>
            <w:tcW w:w="1458"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2018</w:t>
            </w:r>
          </w:p>
        </w:tc>
      </w:tr>
      <w:tr w:rsidR="00E54D73" w:rsidRPr="00351D84" w:rsidTr="00E54D73">
        <w:trPr>
          <w:trHeight w:val="314"/>
        </w:trPr>
        <w:tc>
          <w:tcPr>
            <w:tcW w:w="1615"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Julio</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7</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9</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13</w:t>
            </w:r>
          </w:p>
        </w:tc>
      </w:tr>
      <w:tr w:rsidR="00E54D73" w:rsidRPr="00351D84" w:rsidTr="00E54D73">
        <w:trPr>
          <w:trHeight w:val="314"/>
        </w:trPr>
        <w:tc>
          <w:tcPr>
            <w:tcW w:w="1615"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Agosto</w:t>
            </w:r>
          </w:p>
        </w:tc>
        <w:tc>
          <w:tcPr>
            <w:tcW w:w="1458"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10</w:t>
            </w:r>
          </w:p>
        </w:tc>
        <w:tc>
          <w:tcPr>
            <w:tcW w:w="1458" w:type="dxa"/>
            <w:tcBorders>
              <w:top w:val="nil"/>
              <w:left w:val="nil"/>
              <w:bottom w:val="nil"/>
              <w:right w:val="nil"/>
            </w:tcBorders>
            <w:shd w:val="clear" w:color="000000" w:fill="DCE6F1"/>
            <w:noWrap/>
            <w:vAlign w:val="bottom"/>
            <w:hideMark/>
          </w:tcPr>
          <w:p w:rsidR="00E54D73" w:rsidRPr="00351D84" w:rsidRDefault="00E54D73" w:rsidP="00C8159C">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12</w:t>
            </w:r>
          </w:p>
        </w:tc>
        <w:tc>
          <w:tcPr>
            <w:tcW w:w="1458"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24</w:t>
            </w:r>
          </w:p>
        </w:tc>
      </w:tr>
      <w:tr w:rsidR="00E54D73" w:rsidRPr="00351D84" w:rsidTr="00E54D73">
        <w:trPr>
          <w:trHeight w:val="314"/>
        </w:trPr>
        <w:tc>
          <w:tcPr>
            <w:tcW w:w="1615"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Septiembre</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15</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12</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9</w:t>
            </w:r>
          </w:p>
        </w:tc>
      </w:tr>
      <w:tr w:rsidR="00E54D73" w:rsidRPr="00351D84" w:rsidTr="00E54D73">
        <w:trPr>
          <w:trHeight w:val="314"/>
        </w:trPr>
        <w:tc>
          <w:tcPr>
            <w:tcW w:w="1615"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Octubre</w:t>
            </w:r>
          </w:p>
        </w:tc>
        <w:tc>
          <w:tcPr>
            <w:tcW w:w="1458"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14</w:t>
            </w:r>
          </w:p>
        </w:tc>
        <w:tc>
          <w:tcPr>
            <w:tcW w:w="1458" w:type="dxa"/>
            <w:tcBorders>
              <w:top w:val="nil"/>
              <w:left w:val="nil"/>
              <w:bottom w:val="nil"/>
              <w:right w:val="nil"/>
            </w:tcBorders>
            <w:shd w:val="clear" w:color="000000" w:fill="DCE6F1"/>
            <w:noWrap/>
            <w:vAlign w:val="bottom"/>
            <w:hideMark/>
          </w:tcPr>
          <w:p w:rsidR="00E54D73" w:rsidRPr="00351D84" w:rsidRDefault="00E54D73" w:rsidP="00C8159C">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17</w:t>
            </w:r>
          </w:p>
        </w:tc>
        <w:tc>
          <w:tcPr>
            <w:tcW w:w="1458" w:type="dxa"/>
            <w:tcBorders>
              <w:top w:val="nil"/>
              <w:left w:val="nil"/>
              <w:bottom w:val="nil"/>
              <w:right w:val="nil"/>
            </w:tcBorders>
            <w:shd w:val="clear" w:color="000000" w:fill="DCE6F1"/>
            <w:noWrap/>
            <w:vAlign w:val="bottom"/>
            <w:hideMark/>
          </w:tcPr>
          <w:p w:rsidR="00E54D73" w:rsidRPr="00351D84" w:rsidRDefault="00E54D73" w:rsidP="00C8159C">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24</w:t>
            </w:r>
          </w:p>
        </w:tc>
      </w:tr>
      <w:tr w:rsidR="00E54D73" w:rsidRPr="00351D84" w:rsidTr="00E54D73">
        <w:trPr>
          <w:trHeight w:val="314"/>
        </w:trPr>
        <w:tc>
          <w:tcPr>
            <w:tcW w:w="1615"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Noviembre</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8</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17</w:t>
            </w:r>
          </w:p>
        </w:tc>
        <w:tc>
          <w:tcPr>
            <w:tcW w:w="1458"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14</w:t>
            </w:r>
          </w:p>
        </w:tc>
      </w:tr>
      <w:tr w:rsidR="00E54D73" w:rsidRPr="00351D84" w:rsidTr="00E54D73">
        <w:trPr>
          <w:trHeight w:val="314"/>
        </w:trPr>
        <w:tc>
          <w:tcPr>
            <w:tcW w:w="1615"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Diciembre</w:t>
            </w:r>
          </w:p>
        </w:tc>
        <w:tc>
          <w:tcPr>
            <w:tcW w:w="1458"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16</w:t>
            </w:r>
          </w:p>
        </w:tc>
        <w:tc>
          <w:tcPr>
            <w:tcW w:w="1458"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15</w:t>
            </w:r>
          </w:p>
        </w:tc>
        <w:tc>
          <w:tcPr>
            <w:tcW w:w="1458" w:type="dxa"/>
            <w:tcBorders>
              <w:top w:val="nil"/>
              <w:left w:val="nil"/>
              <w:bottom w:val="nil"/>
              <w:right w:val="nil"/>
            </w:tcBorders>
            <w:shd w:val="clear" w:color="000000" w:fill="DCE6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6</w:t>
            </w:r>
          </w:p>
        </w:tc>
      </w:tr>
      <w:tr w:rsidR="00E54D73" w:rsidRPr="00351D84" w:rsidTr="00E54D73">
        <w:trPr>
          <w:trHeight w:val="314"/>
        </w:trPr>
        <w:tc>
          <w:tcPr>
            <w:tcW w:w="1615"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Total I</w:t>
            </w:r>
            <w:r>
              <w:rPr>
                <w:rFonts w:ascii="Calibri" w:eastAsia="Times New Roman" w:hAnsi="Calibri" w:cs="Times New Roman"/>
                <w:b/>
                <w:bCs/>
                <w:color w:val="FFFFFF"/>
                <w:sz w:val="20"/>
                <w:szCs w:val="20"/>
                <w:lang w:val="es-CL" w:eastAsia="es-ES"/>
              </w:rPr>
              <w:t>I</w:t>
            </w:r>
            <w:r w:rsidRPr="00351D84">
              <w:rPr>
                <w:rFonts w:ascii="Calibri" w:eastAsia="Times New Roman" w:hAnsi="Calibri" w:cs="Times New Roman"/>
                <w:b/>
                <w:bCs/>
                <w:color w:val="FFFFFF"/>
                <w:sz w:val="20"/>
                <w:szCs w:val="20"/>
                <w:lang w:val="es-CL" w:eastAsia="es-ES"/>
              </w:rPr>
              <w:t xml:space="preserve"> Semestre</w:t>
            </w:r>
          </w:p>
        </w:tc>
        <w:tc>
          <w:tcPr>
            <w:tcW w:w="1458"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Pr>
                <w:rFonts w:ascii="Calibri" w:eastAsia="Times New Roman" w:hAnsi="Calibri" w:cs="Times New Roman"/>
                <w:b/>
                <w:bCs/>
                <w:color w:val="FFFFFF"/>
                <w:sz w:val="20"/>
                <w:szCs w:val="20"/>
                <w:lang w:val="es-CL" w:eastAsia="es-ES"/>
              </w:rPr>
              <w:t>66</w:t>
            </w:r>
          </w:p>
        </w:tc>
        <w:tc>
          <w:tcPr>
            <w:tcW w:w="1458"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Pr>
                <w:rFonts w:ascii="Calibri" w:eastAsia="Times New Roman" w:hAnsi="Calibri" w:cs="Times New Roman"/>
                <w:b/>
                <w:bCs/>
                <w:color w:val="FFFFFF"/>
                <w:sz w:val="20"/>
                <w:szCs w:val="20"/>
                <w:lang w:val="es-CL" w:eastAsia="es-ES"/>
              </w:rPr>
              <w:t>82</w:t>
            </w:r>
          </w:p>
        </w:tc>
        <w:tc>
          <w:tcPr>
            <w:tcW w:w="1458"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9</w:t>
            </w:r>
            <w:r>
              <w:rPr>
                <w:rFonts w:ascii="Calibri" w:eastAsia="Times New Roman" w:hAnsi="Calibri" w:cs="Times New Roman"/>
                <w:b/>
                <w:bCs/>
                <w:color w:val="FFFFFF"/>
                <w:sz w:val="20"/>
                <w:szCs w:val="20"/>
                <w:lang w:eastAsia="es-ES"/>
              </w:rPr>
              <w:t>0</w:t>
            </w:r>
          </w:p>
        </w:tc>
      </w:tr>
    </w:tbl>
    <w:p w:rsidR="00351D84" w:rsidRDefault="00351D84" w:rsidP="00351D84">
      <w:pPr>
        <w:ind w:left="708" w:firstLine="708"/>
        <w:rPr>
          <w:sz w:val="20"/>
          <w:szCs w:val="20"/>
        </w:rPr>
      </w:pPr>
      <w:r w:rsidRPr="00214238">
        <w:rPr>
          <w:sz w:val="20"/>
          <w:szCs w:val="20"/>
        </w:rPr>
        <w:t>Fuente: Portal de Transparencia</w:t>
      </w:r>
    </w:p>
    <w:p w:rsidR="00351D84" w:rsidRDefault="00351D84" w:rsidP="00D65D1C">
      <w:pPr>
        <w:ind w:left="360"/>
      </w:pPr>
    </w:p>
    <w:p w:rsidR="004560B7" w:rsidRDefault="004560B7" w:rsidP="00D65D1C">
      <w:pPr>
        <w:ind w:left="360"/>
      </w:pPr>
    </w:p>
    <w:p w:rsidR="00C8159C" w:rsidRDefault="00B41BCF" w:rsidP="00DF6E8A">
      <w:pPr>
        <w:ind w:left="360" w:firstLine="348"/>
        <w:rPr>
          <w:b/>
        </w:rPr>
      </w:pPr>
      <w:r w:rsidRPr="00B41BCF">
        <w:rPr>
          <w:noProof/>
          <w:lang w:eastAsia="es-ES"/>
        </w:rPr>
        <w:drawing>
          <wp:inline distT="0" distB="0" distL="0" distR="0">
            <wp:extent cx="4572000" cy="2743200"/>
            <wp:effectExtent l="19050" t="0" r="19050"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1BCF" w:rsidRDefault="00B41BCF" w:rsidP="00DF6E8A">
      <w:pPr>
        <w:ind w:left="360" w:firstLine="348"/>
        <w:rPr>
          <w:b/>
        </w:rPr>
      </w:pPr>
    </w:p>
    <w:p w:rsidR="00B41BCF" w:rsidRDefault="00B41BCF" w:rsidP="00DF6E8A">
      <w:pPr>
        <w:ind w:left="360" w:firstLine="348"/>
        <w:rPr>
          <w:b/>
        </w:rPr>
      </w:pPr>
    </w:p>
    <w:p w:rsidR="00351D84" w:rsidRDefault="009071B2" w:rsidP="00DF6E8A">
      <w:pPr>
        <w:ind w:left="360" w:firstLine="348"/>
        <w:rPr>
          <w:b/>
        </w:rPr>
      </w:pPr>
      <w:r w:rsidRPr="009071B2">
        <w:rPr>
          <w:b/>
        </w:rPr>
        <w:t>Etapa de ejecución</w:t>
      </w:r>
    </w:p>
    <w:tbl>
      <w:tblPr>
        <w:tblW w:w="7224" w:type="dxa"/>
        <w:tblInd w:w="806" w:type="dxa"/>
        <w:tblCellMar>
          <w:left w:w="70" w:type="dxa"/>
          <w:right w:w="70" w:type="dxa"/>
        </w:tblCellMar>
        <w:tblLook w:val="04A0"/>
      </w:tblPr>
      <w:tblGrid>
        <w:gridCol w:w="3576"/>
        <w:gridCol w:w="1216"/>
        <w:gridCol w:w="1216"/>
        <w:gridCol w:w="1216"/>
      </w:tblGrid>
      <w:tr w:rsidR="00BE74CD" w:rsidRPr="00BE74CD" w:rsidTr="00BE74CD">
        <w:trPr>
          <w:trHeight w:val="300"/>
        </w:trPr>
        <w:tc>
          <w:tcPr>
            <w:tcW w:w="357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ETAPA</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Año 2016</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Año 2017</w:t>
            </w:r>
          </w:p>
        </w:tc>
        <w:tc>
          <w:tcPr>
            <w:tcW w:w="121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Año 2018</w:t>
            </w:r>
          </w:p>
        </w:tc>
      </w:tr>
      <w:tr w:rsidR="00BE74CD" w:rsidRPr="00BE74CD" w:rsidTr="00BE74CD">
        <w:trPr>
          <w:trHeight w:val="300"/>
        </w:trPr>
        <w:tc>
          <w:tcPr>
            <w:tcW w:w="357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Etapa de cumplimiento</w:t>
            </w:r>
          </w:p>
        </w:tc>
        <w:tc>
          <w:tcPr>
            <w:tcW w:w="1216" w:type="dxa"/>
            <w:tcBorders>
              <w:top w:val="nil"/>
              <w:left w:val="nil"/>
              <w:bottom w:val="nil"/>
              <w:right w:val="nil"/>
            </w:tcBorders>
            <w:shd w:val="clear" w:color="auto" w:fill="auto"/>
            <w:noWrap/>
            <w:vAlign w:val="bottom"/>
            <w:hideMark/>
          </w:tcPr>
          <w:p w:rsidR="00BE74CD" w:rsidRPr="00BE74CD" w:rsidRDefault="00327E6B"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val="es-CL" w:eastAsia="es-ES"/>
              </w:rPr>
              <w:t>64</w:t>
            </w:r>
          </w:p>
        </w:tc>
        <w:tc>
          <w:tcPr>
            <w:tcW w:w="1216" w:type="dxa"/>
            <w:tcBorders>
              <w:top w:val="nil"/>
              <w:left w:val="nil"/>
              <w:bottom w:val="nil"/>
              <w:right w:val="nil"/>
            </w:tcBorders>
            <w:shd w:val="clear" w:color="auto" w:fill="auto"/>
            <w:noWrap/>
            <w:vAlign w:val="bottom"/>
            <w:hideMark/>
          </w:tcPr>
          <w:p w:rsidR="00BE74CD" w:rsidRPr="00BE74CD" w:rsidRDefault="002675F3"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val="es-CL" w:eastAsia="es-ES"/>
              </w:rPr>
              <w:t>78</w:t>
            </w:r>
          </w:p>
        </w:tc>
        <w:tc>
          <w:tcPr>
            <w:tcW w:w="1216" w:type="dxa"/>
            <w:tcBorders>
              <w:top w:val="nil"/>
              <w:left w:val="nil"/>
              <w:bottom w:val="nil"/>
              <w:right w:val="nil"/>
            </w:tcBorders>
            <w:shd w:val="clear" w:color="auto" w:fill="auto"/>
            <w:noWrap/>
            <w:vAlign w:val="bottom"/>
            <w:hideMark/>
          </w:tcPr>
          <w:p w:rsidR="00BE74CD" w:rsidRPr="00BE74CD" w:rsidRDefault="002675F3"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87</w:t>
            </w:r>
          </w:p>
        </w:tc>
      </w:tr>
      <w:tr w:rsidR="00BE74CD" w:rsidRPr="00BE74CD" w:rsidTr="00BE74CD">
        <w:trPr>
          <w:trHeight w:val="300"/>
        </w:trPr>
        <w:tc>
          <w:tcPr>
            <w:tcW w:w="357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No es SAI / desistida/anulada</w:t>
            </w:r>
          </w:p>
        </w:tc>
        <w:tc>
          <w:tcPr>
            <w:tcW w:w="1216" w:type="dxa"/>
            <w:tcBorders>
              <w:top w:val="nil"/>
              <w:left w:val="nil"/>
              <w:bottom w:val="nil"/>
              <w:right w:val="nil"/>
            </w:tcBorders>
            <w:shd w:val="clear" w:color="000000" w:fill="DCE6F1"/>
            <w:noWrap/>
            <w:vAlign w:val="bottom"/>
            <w:hideMark/>
          </w:tcPr>
          <w:p w:rsidR="00BE74CD" w:rsidRPr="00BE74CD" w:rsidRDefault="00327E6B"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2</w:t>
            </w:r>
          </w:p>
        </w:tc>
        <w:tc>
          <w:tcPr>
            <w:tcW w:w="1216" w:type="dxa"/>
            <w:tcBorders>
              <w:top w:val="nil"/>
              <w:left w:val="nil"/>
              <w:bottom w:val="nil"/>
              <w:right w:val="nil"/>
            </w:tcBorders>
            <w:shd w:val="clear" w:color="000000" w:fill="DCE6F1"/>
            <w:noWrap/>
            <w:vAlign w:val="bottom"/>
            <w:hideMark/>
          </w:tcPr>
          <w:p w:rsidR="00BE74CD" w:rsidRPr="00BE74CD" w:rsidRDefault="002675F3"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val="es-CL" w:eastAsia="es-ES"/>
              </w:rPr>
              <w:t>4</w:t>
            </w:r>
          </w:p>
        </w:tc>
        <w:tc>
          <w:tcPr>
            <w:tcW w:w="1216" w:type="dxa"/>
            <w:tcBorders>
              <w:top w:val="nil"/>
              <w:left w:val="nil"/>
              <w:bottom w:val="nil"/>
              <w:right w:val="nil"/>
            </w:tcBorders>
            <w:shd w:val="clear" w:color="000000" w:fill="DCE6F1"/>
            <w:noWrap/>
            <w:vAlign w:val="bottom"/>
            <w:hideMark/>
          </w:tcPr>
          <w:p w:rsidR="00BE74CD" w:rsidRPr="00BE74CD" w:rsidRDefault="002675F3"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val="es-CL" w:eastAsia="es-ES"/>
              </w:rPr>
              <w:t>3</w:t>
            </w:r>
          </w:p>
        </w:tc>
      </w:tr>
      <w:tr w:rsidR="00BE74CD" w:rsidRPr="00BE74CD" w:rsidTr="00BE74CD">
        <w:trPr>
          <w:trHeight w:val="300"/>
        </w:trPr>
        <w:tc>
          <w:tcPr>
            <w:tcW w:w="357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Espera pago costos de reproducción</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0</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0</w:t>
            </w:r>
          </w:p>
        </w:tc>
        <w:tc>
          <w:tcPr>
            <w:tcW w:w="1216" w:type="dxa"/>
            <w:tcBorders>
              <w:top w:val="nil"/>
              <w:left w:val="nil"/>
              <w:bottom w:val="nil"/>
              <w:right w:val="nil"/>
            </w:tcBorders>
            <w:shd w:val="clear" w:color="auto" w:fill="auto"/>
            <w:noWrap/>
            <w:vAlign w:val="bottom"/>
            <w:hideMark/>
          </w:tcPr>
          <w:p w:rsidR="00BE74CD" w:rsidRPr="00BE74CD" w:rsidRDefault="002675F3" w:rsidP="002675F3">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0</w:t>
            </w:r>
          </w:p>
        </w:tc>
      </w:tr>
      <w:tr w:rsidR="00BE74CD" w:rsidRPr="00BE74CD" w:rsidTr="00BE74CD">
        <w:trPr>
          <w:trHeight w:val="300"/>
        </w:trPr>
        <w:tc>
          <w:tcPr>
            <w:tcW w:w="357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Derivadas</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000000" w:fill="DCE6F1"/>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000000" w:fill="DCE6F1"/>
            <w:noWrap/>
            <w:vAlign w:val="bottom"/>
            <w:hideMark/>
          </w:tcPr>
          <w:p w:rsidR="00BE74CD" w:rsidRPr="00BE74CD" w:rsidRDefault="002675F3"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0</w:t>
            </w:r>
          </w:p>
        </w:tc>
      </w:tr>
      <w:tr w:rsidR="00BE74CD" w:rsidRPr="00BE74CD" w:rsidTr="00BE74CD">
        <w:trPr>
          <w:trHeight w:val="300"/>
        </w:trPr>
        <w:tc>
          <w:tcPr>
            <w:tcW w:w="357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rPr>
                <w:rFonts w:ascii="Calibri" w:eastAsia="Times New Roman" w:hAnsi="Calibri" w:cs="Times New Roman"/>
                <w:color w:val="000000"/>
                <w:lang w:eastAsia="es-ES"/>
              </w:rPr>
            </w:pPr>
            <w:r w:rsidRPr="00BE74CD">
              <w:rPr>
                <w:rFonts w:ascii="Calibri" w:eastAsia="Times New Roman" w:hAnsi="Calibri" w:cs="Times New Roman"/>
                <w:color w:val="000000"/>
                <w:lang w:val="es-CL" w:eastAsia="es-ES"/>
              </w:rPr>
              <w:t>Análisis y Búsqueda</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auto" w:fill="auto"/>
            <w:noWrap/>
            <w:vAlign w:val="bottom"/>
            <w:hideMark/>
          </w:tcPr>
          <w:p w:rsidR="00BE74CD" w:rsidRPr="00BE74CD" w:rsidRDefault="00BE74CD" w:rsidP="00BE74CD">
            <w:pPr>
              <w:spacing w:after="0" w:line="240" w:lineRule="auto"/>
              <w:jc w:val="center"/>
              <w:rPr>
                <w:rFonts w:ascii="Calibri" w:eastAsia="Times New Roman" w:hAnsi="Calibri" w:cs="Times New Roman"/>
                <w:color w:val="000000"/>
                <w:lang w:eastAsia="es-ES"/>
              </w:rPr>
            </w:pPr>
            <w:r w:rsidRPr="00BE74CD">
              <w:rPr>
                <w:rFonts w:ascii="Calibri" w:eastAsia="Times New Roman" w:hAnsi="Calibri" w:cs="Times New Roman"/>
                <w:color w:val="000000"/>
                <w:lang w:eastAsia="es-ES"/>
              </w:rPr>
              <w:t>0</w:t>
            </w:r>
          </w:p>
        </w:tc>
        <w:tc>
          <w:tcPr>
            <w:tcW w:w="1216" w:type="dxa"/>
            <w:tcBorders>
              <w:top w:val="nil"/>
              <w:left w:val="nil"/>
              <w:bottom w:val="nil"/>
              <w:right w:val="nil"/>
            </w:tcBorders>
            <w:shd w:val="clear" w:color="auto" w:fill="auto"/>
            <w:noWrap/>
            <w:vAlign w:val="bottom"/>
            <w:hideMark/>
          </w:tcPr>
          <w:p w:rsidR="00BE74CD" w:rsidRPr="00BE74CD" w:rsidRDefault="002675F3" w:rsidP="00BE74CD">
            <w:pPr>
              <w:spacing w:after="0" w:line="240" w:lineRule="auto"/>
              <w:jc w:val="center"/>
              <w:rPr>
                <w:rFonts w:ascii="Calibri" w:eastAsia="Times New Roman" w:hAnsi="Calibri" w:cs="Times New Roman"/>
                <w:color w:val="000000"/>
                <w:lang w:eastAsia="es-ES"/>
              </w:rPr>
            </w:pPr>
            <w:r>
              <w:rPr>
                <w:rFonts w:ascii="Calibri" w:eastAsia="Times New Roman" w:hAnsi="Calibri" w:cs="Times New Roman"/>
                <w:color w:val="000000"/>
                <w:lang w:eastAsia="es-ES"/>
              </w:rPr>
              <w:t>0</w:t>
            </w:r>
          </w:p>
        </w:tc>
      </w:tr>
      <w:tr w:rsidR="00BE74CD" w:rsidRPr="00BE74CD" w:rsidTr="00BE74CD">
        <w:trPr>
          <w:trHeight w:val="300"/>
        </w:trPr>
        <w:tc>
          <w:tcPr>
            <w:tcW w:w="3576" w:type="dxa"/>
            <w:tcBorders>
              <w:top w:val="nil"/>
              <w:left w:val="nil"/>
              <w:bottom w:val="nil"/>
              <w:right w:val="nil"/>
            </w:tcBorders>
            <w:shd w:val="clear" w:color="000000" w:fill="4F81BD"/>
            <w:noWrap/>
            <w:vAlign w:val="bottom"/>
            <w:hideMark/>
          </w:tcPr>
          <w:p w:rsidR="00BE74CD" w:rsidRPr="00BE74CD" w:rsidRDefault="00BE74CD" w:rsidP="00BE74CD">
            <w:pPr>
              <w:spacing w:after="0" w:line="240" w:lineRule="auto"/>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val="es-CL" w:eastAsia="es-ES"/>
              </w:rPr>
              <w:t>N° Solicitudes</w:t>
            </w:r>
          </w:p>
        </w:tc>
        <w:tc>
          <w:tcPr>
            <w:tcW w:w="1216" w:type="dxa"/>
            <w:tcBorders>
              <w:top w:val="nil"/>
              <w:left w:val="nil"/>
              <w:bottom w:val="nil"/>
              <w:right w:val="nil"/>
            </w:tcBorders>
            <w:shd w:val="clear" w:color="000000" w:fill="4F81BD"/>
            <w:noWrap/>
            <w:vAlign w:val="bottom"/>
            <w:hideMark/>
          </w:tcPr>
          <w:p w:rsidR="00BE74CD" w:rsidRPr="00BE74CD" w:rsidRDefault="002675F3" w:rsidP="00BE74CD">
            <w:pPr>
              <w:spacing w:after="0" w:line="240" w:lineRule="auto"/>
              <w:jc w:val="center"/>
              <w:rPr>
                <w:rFonts w:ascii="Calibri" w:eastAsia="Times New Roman" w:hAnsi="Calibri" w:cs="Times New Roman"/>
                <w:b/>
                <w:bCs/>
                <w:color w:val="FFFFFF"/>
                <w:lang w:eastAsia="es-ES"/>
              </w:rPr>
            </w:pPr>
            <w:r>
              <w:rPr>
                <w:rFonts w:ascii="Calibri" w:eastAsia="Times New Roman" w:hAnsi="Calibri" w:cs="Times New Roman"/>
                <w:b/>
                <w:bCs/>
                <w:color w:val="FFFFFF"/>
                <w:lang w:eastAsia="es-ES"/>
              </w:rPr>
              <w:t>66</w:t>
            </w:r>
          </w:p>
        </w:tc>
        <w:tc>
          <w:tcPr>
            <w:tcW w:w="1216" w:type="dxa"/>
            <w:tcBorders>
              <w:top w:val="nil"/>
              <w:left w:val="nil"/>
              <w:bottom w:val="nil"/>
              <w:right w:val="nil"/>
            </w:tcBorders>
            <w:shd w:val="clear" w:color="000000" w:fill="4F81BD"/>
            <w:noWrap/>
            <w:vAlign w:val="bottom"/>
            <w:hideMark/>
          </w:tcPr>
          <w:p w:rsidR="00BE74CD" w:rsidRPr="00BE74CD" w:rsidRDefault="002675F3" w:rsidP="002675F3">
            <w:pPr>
              <w:spacing w:after="0" w:line="240" w:lineRule="auto"/>
              <w:jc w:val="center"/>
              <w:rPr>
                <w:rFonts w:ascii="Calibri" w:eastAsia="Times New Roman" w:hAnsi="Calibri" w:cs="Times New Roman"/>
                <w:b/>
                <w:bCs/>
                <w:color w:val="FFFFFF"/>
                <w:lang w:eastAsia="es-ES"/>
              </w:rPr>
            </w:pPr>
            <w:r>
              <w:rPr>
                <w:rFonts w:ascii="Calibri" w:eastAsia="Times New Roman" w:hAnsi="Calibri" w:cs="Times New Roman"/>
                <w:b/>
                <w:bCs/>
                <w:color w:val="FFFFFF"/>
                <w:lang w:eastAsia="es-ES"/>
              </w:rPr>
              <w:t>82</w:t>
            </w:r>
          </w:p>
        </w:tc>
        <w:tc>
          <w:tcPr>
            <w:tcW w:w="1216" w:type="dxa"/>
            <w:tcBorders>
              <w:top w:val="nil"/>
              <w:left w:val="nil"/>
              <w:bottom w:val="nil"/>
              <w:right w:val="nil"/>
            </w:tcBorders>
            <w:shd w:val="clear" w:color="000000" w:fill="4F81BD"/>
            <w:noWrap/>
            <w:vAlign w:val="bottom"/>
            <w:hideMark/>
          </w:tcPr>
          <w:p w:rsidR="00BE74CD" w:rsidRPr="00BE74CD" w:rsidRDefault="00BE74CD" w:rsidP="002675F3">
            <w:pPr>
              <w:spacing w:after="0" w:line="240" w:lineRule="auto"/>
              <w:jc w:val="center"/>
              <w:rPr>
                <w:rFonts w:ascii="Calibri" w:eastAsia="Times New Roman" w:hAnsi="Calibri" w:cs="Times New Roman"/>
                <w:b/>
                <w:bCs/>
                <w:color w:val="FFFFFF"/>
                <w:lang w:eastAsia="es-ES"/>
              </w:rPr>
            </w:pPr>
            <w:r w:rsidRPr="00BE74CD">
              <w:rPr>
                <w:rFonts w:ascii="Calibri" w:eastAsia="Times New Roman" w:hAnsi="Calibri" w:cs="Times New Roman"/>
                <w:b/>
                <w:bCs/>
                <w:color w:val="FFFFFF"/>
                <w:lang w:eastAsia="es-ES"/>
              </w:rPr>
              <w:t>9</w:t>
            </w:r>
            <w:r w:rsidR="002675F3">
              <w:rPr>
                <w:rFonts w:ascii="Calibri" w:eastAsia="Times New Roman" w:hAnsi="Calibri" w:cs="Times New Roman"/>
                <w:b/>
                <w:bCs/>
                <w:color w:val="FFFFFF"/>
                <w:lang w:eastAsia="es-ES"/>
              </w:rPr>
              <w:t>0</w:t>
            </w:r>
          </w:p>
        </w:tc>
      </w:tr>
    </w:tbl>
    <w:p w:rsidR="006232B2" w:rsidRDefault="00702BE5" w:rsidP="00BE74CD">
      <w:pPr>
        <w:ind w:left="708" w:firstLine="708"/>
        <w:rPr>
          <w:sz w:val="20"/>
          <w:szCs w:val="20"/>
        </w:rPr>
      </w:pPr>
      <w:r w:rsidRPr="00214238">
        <w:rPr>
          <w:sz w:val="20"/>
          <w:szCs w:val="20"/>
        </w:rPr>
        <w:t>Fuente: Portal de Transparencia</w:t>
      </w:r>
    </w:p>
    <w:p w:rsidR="004560B7" w:rsidRDefault="004560B7" w:rsidP="00D65D1C">
      <w:pPr>
        <w:ind w:left="360"/>
        <w:rPr>
          <w:sz w:val="20"/>
          <w:szCs w:val="20"/>
        </w:rPr>
      </w:pPr>
    </w:p>
    <w:p w:rsidR="00B41BCF" w:rsidRDefault="00B41BCF" w:rsidP="00D65D1C">
      <w:pPr>
        <w:ind w:left="360"/>
        <w:rPr>
          <w:sz w:val="20"/>
          <w:szCs w:val="20"/>
        </w:rPr>
      </w:pPr>
    </w:p>
    <w:p w:rsidR="004560B7" w:rsidRDefault="00D66B61" w:rsidP="00D65D1C">
      <w:pPr>
        <w:ind w:left="360"/>
      </w:pPr>
      <w:r w:rsidRPr="00D66B61">
        <w:rPr>
          <w:noProof/>
          <w:lang w:eastAsia="es-ES"/>
        </w:rPr>
        <w:drawing>
          <wp:inline distT="0" distB="0" distL="0" distR="0">
            <wp:extent cx="5143500" cy="3562350"/>
            <wp:effectExtent l="19050" t="0" r="1905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39D7" w:rsidRDefault="007339D7" w:rsidP="00D65D1C">
      <w:pPr>
        <w:ind w:left="360"/>
      </w:pPr>
    </w:p>
    <w:p w:rsidR="007339D7" w:rsidRDefault="007339D7" w:rsidP="00D65D1C">
      <w:pPr>
        <w:ind w:left="360"/>
      </w:pPr>
    </w:p>
    <w:p w:rsidR="007339D7" w:rsidRDefault="007339D7" w:rsidP="00D65D1C">
      <w:pPr>
        <w:ind w:left="360"/>
      </w:pPr>
    </w:p>
    <w:p w:rsidR="007339D7" w:rsidRDefault="007339D7" w:rsidP="00D65D1C">
      <w:pPr>
        <w:ind w:left="360"/>
      </w:pPr>
    </w:p>
    <w:p w:rsidR="00B41BCF" w:rsidRDefault="00B41BCF" w:rsidP="00D65D1C">
      <w:pPr>
        <w:ind w:left="360"/>
      </w:pPr>
    </w:p>
    <w:p w:rsidR="00B41BCF" w:rsidRDefault="00B41BCF" w:rsidP="00DF6E8A">
      <w:pPr>
        <w:ind w:firstLine="360"/>
        <w:rPr>
          <w:b/>
        </w:rPr>
      </w:pPr>
    </w:p>
    <w:p w:rsidR="004560B7" w:rsidRDefault="009071B2" w:rsidP="00DF6E8A">
      <w:pPr>
        <w:ind w:firstLine="360"/>
        <w:rPr>
          <w:b/>
        </w:rPr>
      </w:pPr>
      <w:r w:rsidRPr="009071B2">
        <w:rPr>
          <w:b/>
        </w:rPr>
        <w:t>Derivación a Unidades</w:t>
      </w:r>
    </w:p>
    <w:tbl>
      <w:tblPr>
        <w:tblW w:w="8615" w:type="dxa"/>
        <w:tblInd w:w="70" w:type="dxa"/>
        <w:tblCellMar>
          <w:left w:w="70" w:type="dxa"/>
          <w:right w:w="70" w:type="dxa"/>
        </w:tblCellMar>
        <w:tblLook w:val="04A0"/>
      </w:tblPr>
      <w:tblGrid>
        <w:gridCol w:w="4010"/>
        <w:gridCol w:w="213"/>
        <w:gridCol w:w="213"/>
        <w:gridCol w:w="1393"/>
        <w:gridCol w:w="1393"/>
        <w:gridCol w:w="1393"/>
      </w:tblGrid>
      <w:tr w:rsidR="00E54D73" w:rsidRPr="00351D84" w:rsidTr="00E54D73">
        <w:trPr>
          <w:trHeight w:val="303"/>
        </w:trPr>
        <w:tc>
          <w:tcPr>
            <w:tcW w:w="4436" w:type="dxa"/>
            <w:gridSpan w:val="3"/>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Unidad</w:t>
            </w:r>
          </w:p>
        </w:tc>
        <w:tc>
          <w:tcPr>
            <w:tcW w:w="139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2016</w:t>
            </w:r>
          </w:p>
        </w:tc>
        <w:tc>
          <w:tcPr>
            <w:tcW w:w="139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Año 2017</w:t>
            </w:r>
          </w:p>
        </w:tc>
        <w:tc>
          <w:tcPr>
            <w:tcW w:w="139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Año 2018</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Administración y Finanzas</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val="es-CL" w:eastAsia="es-ES"/>
              </w:rPr>
              <w:t>5</w:t>
            </w:r>
          </w:p>
        </w:tc>
        <w:tc>
          <w:tcPr>
            <w:tcW w:w="1393" w:type="dxa"/>
            <w:tcBorders>
              <w:top w:val="nil"/>
              <w:left w:val="nil"/>
              <w:bottom w:val="nil"/>
              <w:right w:val="nil"/>
            </w:tcBorders>
            <w:shd w:val="clear" w:color="auto" w:fill="auto"/>
            <w:noWrap/>
            <w:vAlign w:val="bottom"/>
            <w:hideMark/>
          </w:tcPr>
          <w:p w:rsidR="00E54D73" w:rsidRPr="00351D84" w:rsidRDefault="00E54D73" w:rsidP="0044601F">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11</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11</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Asesoría Jurídica</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5</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DIDECO</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14</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15</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18</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Departamento de Educación</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4</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11</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Salud</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4</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Tránsito</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4</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5</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Aseo y Ornato</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10</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7</w:t>
            </w:r>
          </w:p>
        </w:tc>
        <w:tc>
          <w:tcPr>
            <w:tcW w:w="1393" w:type="dxa"/>
            <w:tcBorders>
              <w:top w:val="nil"/>
              <w:left w:val="nil"/>
              <w:bottom w:val="nil"/>
              <w:right w:val="nil"/>
            </w:tcBorders>
            <w:shd w:val="clear" w:color="auto" w:fill="auto"/>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16</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DOM</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8</w:t>
            </w:r>
          </w:p>
        </w:tc>
        <w:tc>
          <w:tcPr>
            <w:tcW w:w="1393" w:type="dxa"/>
            <w:tcBorders>
              <w:top w:val="nil"/>
              <w:left w:val="nil"/>
              <w:bottom w:val="nil"/>
              <w:right w:val="nil"/>
            </w:tcBorders>
            <w:shd w:val="clear" w:color="000000" w:fill="DBE5F1"/>
            <w:noWrap/>
            <w:vAlign w:val="bottom"/>
            <w:hideMark/>
          </w:tcPr>
          <w:p w:rsidR="00E54D73" w:rsidRPr="00351D84" w:rsidRDefault="00E54D73" w:rsidP="00351D84">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9</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RRHH</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7</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10</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8</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RRPP</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SECPLA</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6</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3</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Dirección de Control</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0</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Secretaría Municipal</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4</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5</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0</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Administración Municipal</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0</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0</w:t>
            </w:r>
          </w:p>
        </w:tc>
      </w:tr>
      <w:tr w:rsidR="00E54D73" w:rsidRPr="00351D84" w:rsidTr="00E54D73">
        <w:trPr>
          <w:trHeight w:val="303"/>
        </w:trPr>
        <w:tc>
          <w:tcPr>
            <w:tcW w:w="4436" w:type="dxa"/>
            <w:gridSpan w:val="3"/>
            <w:tcBorders>
              <w:top w:val="nil"/>
              <w:left w:val="nil"/>
              <w:bottom w:val="nil"/>
              <w:right w:val="nil"/>
            </w:tcBorders>
            <w:shd w:val="clear" w:color="auto" w:fill="auto"/>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eastAsia="es-ES"/>
              </w:rPr>
            </w:pPr>
            <w:r w:rsidRPr="00351D84">
              <w:rPr>
                <w:rFonts w:ascii="Calibri" w:eastAsia="Times New Roman" w:hAnsi="Calibri" w:cs="Times New Roman"/>
                <w:color w:val="000000"/>
                <w:sz w:val="20"/>
                <w:szCs w:val="20"/>
                <w:lang w:val="es-CL" w:eastAsia="es-ES"/>
              </w:rPr>
              <w:t>Juzgado de Policía Local</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1</w:t>
            </w:r>
          </w:p>
        </w:tc>
        <w:tc>
          <w:tcPr>
            <w:tcW w:w="1393" w:type="dxa"/>
            <w:tcBorders>
              <w:top w:val="nil"/>
              <w:left w:val="nil"/>
              <w:bottom w:val="nil"/>
              <w:right w:val="nil"/>
            </w:tcBorders>
            <w:shd w:val="clear" w:color="auto" w:fill="auto"/>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w:t>
            </w:r>
          </w:p>
        </w:tc>
      </w:tr>
      <w:tr w:rsidR="00E54D73" w:rsidRPr="00351D84" w:rsidTr="00E54D73">
        <w:trPr>
          <w:trHeight w:val="303"/>
        </w:trPr>
        <w:tc>
          <w:tcPr>
            <w:tcW w:w="4436" w:type="dxa"/>
            <w:gridSpan w:val="3"/>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rPr>
                <w:rFonts w:ascii="Calibri" w:eastAsia="Times New Roman" w:hAnsi="Calibri" w:cs="Times New Roman"/>
                <w:color w:val="000000"/>
                <w:sz w:val="20"/>
                <w:szCs w:val="20"/>
                <w:lang w:val="es-CL" w:eastAsia="es-ES"/>
              </w:rPr>
            </w:pPr>
            <w:r>
              <w:rPr>
                <w:rFonts w:ascii="Calibri" w:eastAsia="Times New Roman" w:hAnsi="Calibri" w:cs="Times New Roman"/>
                <w:color w:val="000000"/>
                <w:sz w:val="20"/>
                <w:szCs w:val="20"/>
                <w:lang w:val="es-CL" w:eastAsia="es-ES"/>
              </w:rPr>
              <w:t>Seguridad Pública</w:t>
            </w:r>
          </w:p>
        </w:tc>
        <w:tc>
          <w:tcPr>
            <w:tcW w:w="1393" w:type="dxa"/>
            <w:tcBorders>
              <w:top w:val="nil"/>
              <w:left w:val="nil"/>
              <w:bottom w:val="nil"/>
              <w:right w:val="nil"/>
            </w:tcBorders>
            <w:shd w:val="clear" w:color="000000" w:fill="DBE5F1"/>
            <w:noWrap/>
            <w:vAlign w:val="bottom"/>
            <w:hideMark/>
          </w:tcPr>
          <w:p w:rsidR="00E54D73"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0</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val="es-CL" w:eastAsia="es-ES"/>
              </w:rPr>
            </w:pPr>
            <w:r>
              <w:rPr>
                <w:rFonts w:ascii="Calibri" w:eastAsia="Times New Roman" w:hAnsi="Calibri" w:cs="Times New Roman"/>
                <w:color w:val="000000"/>
                <w:sz w:val="20"/>
                <w:szCs w:val="20"/>
                <w:lang w:val="es-CL" w:eastAsia="es-ES"/>
              </w:rPr>
              <w:t>0</w:t>
            </w:r>
          </w:p>
        </w:tc>
        <w:tc>
          <w:tcPr>
            <w:tcW w:w="1393" w:type="dxa"/>
            <w:tcBorders>
              <w:top w:val="nil"/>
              <w:left w:val="nil"/>
              <w:bottom w:val="nil"/>
              <w:right w:val="nil"/>
            </w:tcBorders>
            <w:shd w:val="clear" w:color="000000" w:fill="DBE5F1"/>
            <w:noWrap/>
            <w:vAlign w:val="bottom"/>
            <w:hideMark/>
          </w:tcPr>
          <w:p w:rsidR="00E54D73" w:rsidRPr="00351D84" w:rsidRDefault="00E54D73" w:rsidP="00920E23">
            <w:pPr>
              <w:spacing w:after="0" w:line="240" w:lineRule="auto"/>
              <w:jc w:val="center"/>
              <w:rPr>
                <w:rFonts w:ascii="Calibri" w:eastAsia="Times New Roman" w:hAnsi="Calibri" w:cs="Times New Roman"/>
                <w:color w:val="000000"/>
                <w:sz w:val="20"/>
                <w:szCs w:val="20"/>
                <w:lang w:eastAsia="es-ES"/>
              </w:rPr>
            </w:pPr>
            <w:r>
              <w:rPr>
                <w:rFonts w:ascii="Calibri" w:eastAsia="Times New Roman" w:hAnsi="Calibri" w:cs="Times New Roman"/>
                <w:color w:val="000000"/>
                <w:sz w:val="20"/>
                <w:szCs w:val="20"/>
                <w:lang w:eastAsia="es-ES"/>
              </w:rPr>
              <w:t>2</w:t>
            </w:r>
          </w:p>
        </w:tc>
      </w:tr>
      <w:tr w:rsidR="00E54D73" w:rsidRPr="00351D84" w:rsidTr="00E54D73">
        <w:trPr>
          <w:trHeight w:val="303"/>
        </w:trPr>
        <w:tc>
          <w:tcPr>
            <w:tcW w:w="4010"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Total SAI Gestionadas por unidad</w:t>
            </w:r>
          </w:p>
        </w:tc>
        <w:tc>
          <w:tcPr>
            <w:tcW w:w="21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eastAsia="es-ES"/>
              </w:rPr>
              <w:t> </w:t>
            </w:r>
          </w:p>
        </w:tc>
        <w:tc>
          <w:tcPr>
            <w:tcW w:w="21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sidRPr="00351D84">
              <w:rPr>
                <w:rFonts w:ascii="Calibri" w:eastAsia="Times New Roman" w:hAnsi="Calibri" w:cs="Times New Roman"/>
                <w:b/>
                <w:bCs/>
                <w:color w:val="FFFFFF"/>
                <w:sz w:val="20"/>
                <w:szCs w:val="20"/>
                <w:lang w:val="es-CL" w:eastAsia="es-ES"/>
              </w:rPr>
              <w:t> </w:t>
            </w:r>
          </w:p>
        </w:tc>
        <w:tc>
          <w:tcPr>
            <w:tcW w:w="139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Pr>
                <w:rFonts w:ascii="Calibri" w:eastAsia="Times New Roman" w:hAnsi="Calibri" w:cs="Times New Roman"/>
                <w:b/>
                <w:bCs/>
                <w:color w:val="FFFFFF"/>
                <w:sz w:val="20"/>
                <w:szCs w:val="20"/>
                <w:lang w:eastAsia="es-ES"/>
              </w:rPr>
              <w:t>65</w:t>
            </w:r>
          </w:p>
        </w:tc>
        <w:tc>
          <w:tcPr>
            <w:tcW w:w="139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Pr>
                <w:rFonts w:ascii="Calibri" w:eastAsia="Times New Roman" w:hAnsi="Calibri" w:cs="Times New Roman"/>
                <w:b/>
                <w:bCs/>
                <w:color w:val="FFFFFF"/>
                <w:sz w:val="20"/>
                <w:szCs w:val="20"/>
                <w:lang w:eastAsia="es-ES"/>
              </w:rPr>
              <w:t>86</w:t>
            </w:r>
          </w:p>
        </w:tc>
        <w:tc>
          <w:tcPr>
            <w:tcW w:w="1393" w:type="dxa"/>
            <w:tcBorders>
              <w:top w:val="nil"/>
              <w:left w:val="nil"/>
              <w:bottom w:val="nil"/>
              <w:right w:val="nil"/>
            </w:tcBorders>
            <w:shd w:val="clear" w:color="000000" w:fill="4F81BD"/>
            <w:noWrap/>
            <w:vAlign w:val="bottom"/>
            <w:hideMark/>
          </w:tcPr>
          <w:p w:rsidR="00E54D73" w:rsidRPr="00351D84" w:rsidRDefault="00E54D73" w:rsidP="00351D84">
            <w:pPr>
              <w:spacing w:after="0" w:line="240" w:lineRule="auto"/>
              <w:jc w:val="center"/>
              <w:rPr>
                <w:rFonts w:ascii="Calibri" w:eastAsia="Times New Roman" w:hAnsi="Calibri" w:cs="Times New Roman"/>
                <w:b/>
                <w:bCs/>
                <w:color w:val="FFFFFF"/>
                <w:sz w:val="20"/>
                <w:szCs w:val="20"/>
                <w:lang w:eastAsia="es-ES"/>
              </w:rPr>
            </w:pPr>
            <w:r>
              <w:rPr>
                <w:rFonts w:ascii="Calibri" w:eastAsia="Times New Roman" w:hAnsi="Calibri" w:cs="Times New Roman"/>
                <w:b/>
                <w:bCs/>
                <w:color w:val="FFFFFF"/>
                <w:sz w:val="20"/>
                <w:szCs w:val="20"/>
                <w:lang w:eastAsia="es-ES"/>
              </w:rPr>
              <w:t>86</w:t>
            </w:r>
          </w:p>
        </w:tc>
      </w:tr>
    </w:tbl>
    <w:p w:rsidR="00BF38A0" w:rsidRPr="00052D70" w:rsidRDefault="00351D84" w:rsidP="00351D84">
      <w:pPr>
        <w:rPr>
          <w:sz w:val="20"/>
          <w:szCs w:val="20"/>
        </w:rPr>
      </w:pPr>
      <w:r>
        <w:rPr>
          <w:sz w:val="20"/>
          <w:szCs w:val="20"/>
        </w:rPr>
        <w:t xml:space="preserve">      </w:t>
      </w:r>
      <w:r w:rsidR="00052D70" w:rsidRPr="00052D70">
        <w:rPr>
          <w:sz w:val="20"/>
          <w:szCs w:val="20"/>
        </w:rPr>
        <w:t>Fuente: Portal de Transparencia</w:t>
      </w:r>
    </w:p>
    <w:p w:rsidR="00BF38A0" w:rsidRDefault="00BF38A0" w:rsidP="00D65D1C">
      <w:pPr>
        <w:ind w:left="360"/>
      </w:pPr>
    </w:p>
    <w:p w:rsidR="004560B7" w:rsidRDefault="00B41BCF" w:rsidP="00D65D1C">
      <w:pPr>
        <w:ind w:left="360"/>
      </w:pPr>
      <w:r w:rsidRPr="00B41BCF">
        <w:rPr>
          <w:noProof/>
          <w:lang w:eastAsia="es-ES"/>
        </w:rPr>
        <w:drawing>
          <wp:inline distT="0" distB="0" distL="0" distR="0">
            <wp:extent cx="4781550" cy="3038475"/>
            <wp:effectExtent l="19050" t="0" r="19050" b="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39D7" w:rsidRDefault="007339D7" w:rsidP="00D65D1C">
      <w:pPr>
        <w:ind w:left="360"/>
      </w:pPr>
    </w:p>
    <w:p w:rsidR="007339D7" w:rsidRDefault="007339D7" w:rsidP="00D65D1C">
      <w:pPr>
        <w:ind w:left="360"/>
      </w:pPr>
    </w:p>
    <w:p w:rsidR="003A633B" w:rsidRPr="009071B2" w:rsidRDefault="009071B2" w:rsidP="00D65D1C">
      <w:pPr>
        <w:ind w:left="360"/>
        <w:rPr>
          <w:b/>
        </w:rPr>
      </w:pPr>
      <w:r w:rsidRPr="009071B2">
        <w:rPr>
          <w:b/>
        </w:rPr>
        <w:t>Amparos</w:t>
      </w:r>
    </w:p>
    <w:p w:rsidR="009071B2" w:rsidRPr="009071B2" w:rsidRDefault="009071B2" w:rsidP="009071B2">
      <w:pPr>
        <w:rPr>
          <w:rFonts w:ascii="Calibri" w:hAnsi="Calibri"/>
        </w:rPr>
      </w:pPr>
      <w:r w:rsidRPr="009071B2">
        <w:rPr>
          <w:rFonts w:ascii="Calibri" w:hAnsi="Calibri"/>
        </w:rPr>
        <w:t>No se han recibido amparos durante este periodo.</w:t>
      </w:r>
    </w:p>
    <w:p w:rsidR="004057F2" w:rsidRDefault="004057F2" w:rsidP="009071B2">
      <w:pPr>
        <w:ind w:firstLine="360"/>
        <w:rPr>
          <w:rFonts w:ascii="Calibri" w:hAnsi="Calibri"/>
          <w:b/>
        </w:rPr>
      </w:pPr>
    </w:p>
    <w:p w:rsidR="00907595" w:rsidRPr="00BF13E4" w:rsidRDefault="004560B7" w:rsidP="00BF13E4">
      <w:pPr>
        <w:pStyle w:val="Prrafodelista"/>
        <w:numPr>
          <w:ilvl w:val="0"/>
          <w:numId w:val="3"/>
        </w:numPr>
        <w:rPr>
          <w:rFonts w:ascii="Calibri" w:hAnsi="Calibri"/>
          <w:b/>
        </w:rPr>
      </w:pPr>
      <w:r w:rsidRPr="00BF13E4">
        <w:rPr>
          <w:rFonts w:ascii="Calibri" w:hAnsi="Calibri"/>
          <w:b/>
        </w:rPr>
        <w:t>L</w:t>
      </w:r>
      <w:r w:rsidR="00907595" w:rsidRPr="00BF13E4">
        <w:rPr>
          <w:rFonts w:ascii="Calibri" w:hAnsi="Calibri"/>
          <w:b/>
        </w:rPr>
        <w:t xml:space="preserve">ey del Lobby </w:t>
      </w:r>
    </w:p>
    <w:p w:rsidR="00907595" w:rsidRDefault="00B41BCF" w:rsidP="00907595">
      <w:pPr>
        <w:rPr>
          <w:rFonts w:ascii="Calibri" w:hAnsi="Calibri"/>
        </w:rPr>
      </w:pPr>
      <w:r>
        <w:rPr>
          <w:rFonts w:ascii="Calibri" w:hAnsi="Calibri"/>
          <w:noProof/>
          <w:lang w:eastAsia="es-ES"/>
        </w:rPr>
        <w:drawing>
          <wp:anchor distT="0" distB="0" distL="114300" distR="114300" simplePos="0" relativeHeight="251663360" behindDoc="0" locked="0" layoutInCell="1" allowOverlap="1">
            <wp:simplePos x="0" y="0"/>
            <wp:positionH relativeFrom="column">
              <wp:posOffset>-537210</wp:posOffset>
            </wp:positionH>
            <wp:positionV relativeFrom="paragraph">
              <wp:posOffset>713740</wp:posOffset>
            </wp:positionV>
            <wp:extent cx="6800850" cy="3657600"/>
            <wp:effectExtent l="19050" t="0" r="0" b="0"/>
            <wp:wrapSquare wrapText="bothSides"/>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6800850" cy="3657600"/>
                    </a:xfrm>
                    <a:prstGeom prst="rect">
                      <a:avLst/>
                    </a:prstGeom>
                    <a:noFill/>
                    <a:ln w="9525">
                      <a:noFill/>
                      <a:miter lim="800000"/>
                      <a:headEnd/>
                      <a:tailEnd/>
                    </a:ln>
                  </pic:spPr>
                </pic:pic>
              </a:graphicData>
            </a:graphic>
          </wp:anchor>
        </w:drawing>
      </w:r>
      <w:r w:rsidR="00907595">
        <w:rPr>
          <w:rFonts w:ascii="Calibri" w:hAnsi="Calibri"/>
        </w:rPr>
        <w:t>La plataforma de Lobby continúa con su normal funcionamiento sin nuevas incorporaciones, la que es gestionada directamente por los concejales y funcionarios afectos a la Ley.</w:t>
      </w:r>
    </w:p>
    <w:p w:rsidR="00907595" w:rsidRDefault="00907595" w:rsidP="00907595">
      <w:pPr>
        <w:rPr>
          <w:rFonts w:ascii="Calibri" w:hAnsi="Calibri"/>
          <w:noProof/>
          <w:lang w:eastAsia="es-ES"/>
        </w:rPr>
      </w:pPr>
      <w:r>
        <w:rPr>
          <w:rFonts w:ascii="Calibri" w:hAnsi="Calibri"/>
          <w:noProof/>
          <w:lang w:eastAsia="es-ES"/>
        </w:rPr>
        <w:t xml:space="preserve"> </w:t>
      </w:r>
    </w:p>
    <w:p w:rsidR="004560B7" w:rsidRDefault="004560B7" w:rsidP="00907595">
      <w:pPr>
        <w:rPr>
          <w:rFonts w:ascii="Calibri" w:hAnsi="Calibri"/>
          <w:b/>
          <w:noProof/>
          <w:lang w:eastAsia="es-ES"/>
        </w:rPr>
      </w:pPr>
    </w:p>
    <w:p w:rsidR="00B41BCF" w:rsidRDefault="00B41BCF" w:rsidP="00907595">
      <w:pPr>
        <w:rPr>
          <w:rFonts w:ascii="Calibri" w:hAnsi="Calibri"/>
          <w:b/>
          <w:noProof/>
          <w:lang w:eastAsia="es-ES"/>
        </w:rPr>
      </w:pPr>
    </w:p>
    <w:p w:rsidR="00B41BCF" w:rsidRDefault="00B41BCF" w:rsidP="00907595">
      <w:pPr>
        <w:rPr>
          <w:rFonts w:ascii="Calibri" w:hAnsi="Calibri"/>
          <w:b/>
          <w:noProof/>
          <w:lang w:eastAsia="es-ES"/>
        </w:rPr>
      </w:pPr>
    </w:p>
    <w:p w:rsidR="00B41BCF" w:rsidRDefault="00B41BCF" w:rsidP="00907595">
      <w:pPr>
        <w:rPr>
          <w:rFonts w:ascii="Calibri" w:hAnsi="Calibri"/>
          <w:b/>
          <w:noProof/>
          <w:lang w:eastAsia="es-ES"/>
        </w:rPr>
      </w:pPr>
    </w:p>
    <w:p w:rsidR="00B41BCF" w:rsidRDefault="00B41BCF" w:rsidP="00907595">
      <w:pPr>
        <w:rPr>
          <w:rFonts w:ascii="Calibri" w:hAnsi="Calibri"/>
          <w:b/>
          <w:noProof/>
          <w:lang w:eastAsia="es-ES"/>
        </w:rPr>
      </w:pPr>
    </w:p>
    <w:p w:rsidR="00B41BCF" w:rsidRDefault="00B41BCF" w:rsidP="00907595">
      <w:pPr>
        <w:rPr>
          <w:rFonts w:ascii="Calibri" w:hAnsi="Calibri"/>
          <w:b/>
          <w:noProof/>
          <w:lang w:eastAsia="es-ES"/>
        </w:rPr>
      </w:pPr>
    </w:p>
    <w:p w:rsidR="00907595" w:rsidRPr="00BF13E4" w:rsidRDefault="00907595" w:rsidP="00BF13E4">
      <w:pPr>
        <w:pStyle w:val="Prrafodelista"/>
        <w:numPr>
          <w:ilvl w:val="0"/>
          <w:numId w:val="3"/>
        </w:numPr>
        <w:rPr>
          <w:rFonts w:ascii="Calibri" w:hAnsi="Calibri"/>
          <w:b/>
          <w:noProof/>
          <w:lang w:eastAsia="es-ES"/>
        </w:rPr>
      </w:pPr>
      <w:r w:rsidRPr="00BF13E4">
        <w:rPr>
          <w:rFonts w:ascii="Calibri" w:hAnsi="Calibri"/>
          <w:b/>
          <w:noProof/>
          <w:lang w:eastAsia="es-ES"/>
        </w:rPr>
        <w:lastRenderedPageBreak/>
        <w:t>Declaraciones de Intereses y Patrimonios</w:t>
      </w:r>
    </w:p>
    <w:p w:rsidR="00907595" w:rsidRPr="00907595" w:rsidRDefault="00B41BCF" w:rsidP="00907595">
      <w:pPr>
        <w:rPr>
          <w:rFonts w:ascii="Calibri" w:hAnsi="Calibri"/>
        </w:rPr>
      </w:pPr>
      <w:r>
        <w:rPr>
          <w:rFonts w:ascii="Calibri" w:hAnsi="Calibri"/>
          <w:noProof/>
          <w:lang w:eastAsia="es-ES"/>
        </w:rPr>
        <w:drawing>
          <wp:anchor distT="0" distB="0" distL="114300" distR="114300" simplePos="0" relativeHeight="251664384" behindDoc="0" locked="0" layoutInCell="1" allowOverlap="1">
            <wp:simplePos x="0" y="0"/>
            <wp:positionH relativeFrom="column">
              <wp:posOffset>-556260</wp:posOffset>
            </wp:positionH>
            <wp:positionV relativeFrom="paragraph">
              <wp:posOffset>596265</wp:posOffset>
            </wp:positionV>
            <wp:extent cx="6762750" cy="3810000"/>
            <wp:effectExtent l="1905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6762750" cy="3810000"/>
                    </a:xfrm>
                    <a:prstGeom prst="rect">
                      <a:avLst/>
                    </a:prstGeom>
                    <a:noFill/>
                    <a:ln w="9525">
                      <a:noFill/>
                      <a:miter lim="800000"/>
                      <a:headEnd/>
                      <a:tailEnd/>
                    </a:ln>
                  </pic:spPr>
                </pic:pic>
              </a:graphicData>
            </a:graphic>
          </wp:anchor>
        </w:drawing>
      </w:r>
      <w:r w:rsidR="00907595">
        <w:rPr>
          <w:rFonts w:ascii="Calibri" w:hAnsi="Calibri"/>
        </w:rPr>
        <w:t xml:space="preserve">Durante este periodo </w:t>
      </w:r>
      <w:r w:rsidR="004057F2">
        <w:rPr>
          <w:rFonts w:ascii="Calibri" w:hAnsi="Calibri"/>
        </w:rPr>
        <w:t xml:space="preserve">no </w:t>
      </w:r>
      <w:r w:rsidR="00907595">
        <w:rPr>
          <w:rFonts w:ascii="Calibri" w:hAnsi="Calibri"/>
        </w:rPr>
        <w:t>se ha</w:t>
      </w:r>
      <w:r w:rsidR="007455EA">
        <w:rPr>
          <w:rFonts w:ascii="Calibri" w:hAnsi="Calibri"/>
        </w:rPr>
        <w:t>n</w:t>
      </w:r>
      <w:r w:rsidR="00907595">
        <w:rPr>
          <w:rFonts w:ascii="Calibri" w:hAnsi="Calibri"/>
        </w:rPr>
        <w:t xml:space="preserve"> realizado nuevos perfiles</w:t>
      </w:r>
      <w:r w:rsidR="004057F2">
        <w:rPr>
          <w:rFonts w:ascii="Calibri" w:hAnsi="Calibri"/>
        </w:rPr>
        <w:t xml:space="preserve">, </w:t>
      </w:r>
      <w:r w:rsidR="00920E23">
        <w:rPr>
          <w:rFonts w:ascii="Calibri" w:hAnsi="Calibri"/>
        </w:rPr>
        <w:t xml:space="preserve">en cuanto a su modificación e incorporación de información, son los propios funcionarios afectos a la Ley quienes las realizan. </w:t>
      </w:r>
    </w:p>
    <w:p w:rsidR="004A36B1" w:rsidRDefault="004A36B1" w:rsidP="004A36B1">
      <w:pPr>
        <w:spacing w:after="0" w:line="240" w:lineRule="auto"/>
        <w:rPr>
          <w:sz w:val="20"/>
          <w:szCs w:val="20"/>
        </w:rPr>
      </w:pPr>
    </w:p>
    <w:p w:rsidR="00234B04" w:rsidRDefault="00234B04" w:rsidP="00DF6E8A">
      <w:pPr>
        <w:rPr>
          <w:b/>
        </w:rPr>
      </w:pPr>
    </w:p>
    <w:p w:rsidR="00234B04" w:rsidRDefault="00234B04" w:rsidP="00DF6E8A">
      <w:pPr>
        <w:rPr>
          <w:b/>
        </w:rPr>
      </w:pPr>
    </w:p>
    <w:p w:rsidR="00234B04" w:rsidRDefault="00234B04" w:rsidP="00DF6E8A">
      <w:pPr>
        <w:rPr>
          <w:b/>
        </w:rPr>
      </w:pPr>
    </w:p>
    <w:p w:rsidR="00AA1B49" w:rsidRPr="00BF13E4" w:rsidRDefault="00234B04" w:rsidP="00BF13E4">
      <w:pPr>
        <w:pStyle w:val="Prrafodelista"/>
        <w:numPr>
          <w:ilvl w:val="0"/>
          <w:numId w:val="3"/>
        </w:numPr>
        <w:rPr>
          <w:b/>
        </w:rPr>
      </w:pPr>
      <w:r w:rsidRPr="00BF13E4">
        <w:rPr>
          <w:b/>
        </w:rPr>
        <w:t>Informe de Fiscalización 2018</w:t>
      </w:r>
      <w:r w:rsidR="00AA1B49" w:rsidRPr="00BF13E4">
        <w:rPr>
          <w:b/>
        </w:rPr>
        <w:t xml:space="preserve"> Consejo para la Transparencia</w:t>
      </w:r>
    </w:p>
    <w:p w:rsidR="00234B04" w:rsidRDefault="00234B04" w:rsidP="00920E23"/>
    <w:p w:rsidR="00234B04" w:rsidRPr="00920E23" w:rsidRDefault="00234B04" w:rsidP="00234B04">
      <w:r>
        <w:rPr>
          <w:b/>
        </w:rPr>
        <w:t>Transparencia Activa</w:t>
      </w:r>
    </w:p>
    <w:p w:rsidR="00920E23" w:rsidRDefault="00AA1B49" w:rsidP="00920E23">
      <w:r>
        <w:t xml:space="preserve">Con fecha </w:t>
      </w:r>
      <w:r w:rsidR="00234B04">
        <w:t>13 de abril de 2018,</w:t>
      </w:r>
      <w:r>
        <w:t xml:space="preserve"> es evacuado por parte del Consejo para la Transparencia el “Informe Fiscalización Proceso de Fiscalización “201</w:t>
      </w:r>
      <w:r w:rsidR="00234B04">
        <w:t>8</w:t>
      </w:r>
      <w:r>
        <w:t>” Municipalidad de Casablanca”,</w:t>
      </w:r>
      <w:r w:rsidR="00234B04">
        <w:t xml:space="preserve"> para Transparencia Activa</w:t>
      </w:r>
      <w:r>
        <w:t xml:space="preserve"> cuyos resultados son los siguientes:</w:t>
      </w:r>
    </w:p>
    <w:p w:rsidR="00AA1B49" w:rsidRDefault="00920E23" w:rsidP="00AA1B49">
      <w:pPr>
        <w:spacing w:after="0"/>
        <w:ind w:left="360"/>
      </w:pPr>
      <w:r>
        <w:rPr>
          <w:noProof/>
          <w:lang w:eastAsia="es-ES"/>
        </w:rPr>
        <w:lastRenderedPageBreak/>
        <w:drawing>
          <wp:anchor distT="0" distB="0" distL="114300" distR="114300" simplePos="0" relativeHeight="251660288" behindDoc="0" locked="0" layoutInCell="1" allowOverlap="1">
            <wp:simplePos x="0" y="0"/>
            <wp:positionH relativeFrom="column">
              <wp:posOffset>-32385</wp:posOffset>
            </wp:positionH>
            <wp:positionV relativeFrom="paragraph">
              <wp:posOffset>43815</wp:posOffset>
            </wp:positionV>
            <wp:extent cx="6052820" cy="6105525"/>
            <wp:effectExtent l="1905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52820" cy="6105525"/>
                    </a:xfrm>
                    <a:prstGeom prst="rect">
                      <a:avLst/>
                    </a:prstGeom>
                    <a:noFill/>
                    <a:ln w="9525">
                      <a:noFill/>
                      <a:miter lim="800000"/>
                      <a:headEnd/>
                      <a:tailEnd/>
                    </a:ln>
                  </pic:spPr>
                </pic:pic>
              </a:graphicData>
            </a:graphic>
          </wp:anchor>
        </w:drawing>
      </w:r>
    </w:p>
    <w:p w:rsidR="00AA1B49" w:rsidRPr="003A633B" w:rsidRDefault="00AA1B49" w:rsidP="00AA1B49">
      <w:pPr>
        <w:spacing w:after="0"/>
        <w:ind w:left="1068"/>
        <w:rPr>
          <w:sz w:val="20"/>
          <w:szCs w:val="20"/>
        </w:rPr>
      </w:pPr>
      <w:r w:rsidRPr="003A633B">
        <w:rPr>
          <w:sz w:val="20"/>
          <w:szCs w:val="20"/>
        </w:rPr>
        <w:t>Fuente: Informe Fiscalización Proceso de Fiscalización “201</w:t>
      </w:r>
      <w:r w:rsidR="00920E23">
        <w:rPr>
          <w:sz w:val="20"/>
          <w:szCs w:val="20"/>
        </w:rPr>
        <w:t>8</w:t>
      </w:r>
      <w:r w:rsidRPr="003A633B">
        <w:rPr>
          <w:sz w:val="20"/>
          <w:szCs w:val="20"/>
        </w:rPr>
        <w:t>” Municipalidad de Casablanca</w:t>
      </w:r>
    </w:p>
    <w:p w:rsidR="00AA1B49" w:rsidRDefault="00AA1B49" w:rsidP="00AA1B49">
      <w:pPr>
        <w:ind w:left="360"/>
      </w:pPr>
    </w:p>
    <w:p w:rsidR="00920E23" w:rsidRPr="00920E23" w:rsidRDefault="00920E23" w:rsidP="00920E23">
      <w:pPr>
        <w:ind w:left="360"/>
        <w:rPr>
          <w:b/>
        </w:rPr>
      </w:pPr>
      <w:r w:rsidRPr="00920E23">
        <w:rPr>
          <w:noProof/>
          <w:lang w:eastAsia="es-ES"/>
        </w:rPr>
        <w:lastRenderedPageBreak/>
        <w:drawing>
          <wp:anchor distT="0" distB="0" distL="114300" distR="114300" simplePos="0" relativeHeight="251661312" behindDoc="0" locked="0" layoutInCell="1" allowOverlap="1">
            <wp:simplePos x="0" y="0"/>
            <wp:positionH relativeFrom="column">
              <wp:posOffset>-184785</wp:posOffset>
            </wp:positionH>
            <wp:positionV relativeFrom="paragraph">
              <wp:posOffset>405130</wp:posOffset>
            </wp:positionV>
            <wp:extent cx="6209030" cy="2438400"/>
            <wp:effectExtent l="1905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209030" cy="2438400"/>
                    </a:xfrm>
                    <a:prstGeom prst="rect">
                      <a:avLst/>
                    </a:prstGeom>
                    <a:noFill/>
                    <a:ln w="9525">
                      <a:noFill/>
                      <a:miter lim="800000"/>
                      <a:headEnd/>
                      <a:tailEnd/>
                    </a:ln>
                  </pic:spPr>
                </pic:pic>
              </a:graphicData>
            </a:graphic>
          </wp:anchor>
        </w:drawing>
      </w:r>
      <w:r w:rsidRPr="00920E23">
        <w:rPr>
          <w:b/>
        </w:rPr>
        <w:t>Cumplimiento Histórico</w:t>
      </w:r>
    </w:p>
    <w:p w:rsidR="00AA1B49" w:rsidRPr="003A633B" w:rsidRDefault="00AA1B49" w:rsidP="00920E23">
      <w:pPr>
        <w:ind w:left="360"/>
        <w:rPr>
          <w:sz w:val="20"/>
          <w:szCs w:val="20"/>
        </w:rPr>
      </w:pPr>
      <w:r w:rsidRPr="003A633B">
        <w:rPr>
          <w:sz w:val="20"/>
          <w:szCs w:val="20"/>
        </w:rPr>
        <w:t>Fuente: Informe Fiscalización Proceso de Fiscalización “201</w:t>
      </w:r>
      <w:r w:rsidR="00920E23">
        <w:rPr>
          <w:sz w:val="20"/>
          <w:szCs w:val="20"/>
        </w:rPr>
        <w:t>8</w:t>
      </w:r>
      <w:r w:rsidRPr="003A633B">
        <w:rPr>
          <w:sz w:val="20"/>
          <w:szCs w:val="20"/>
        </w:rPr>
        <w:t>” Municipalidad de Casablanca</w:t>
      </w:r>
    </w:p>
    <w:p w:rsidR="00AA1B49" w:rsidRDefault="00770BEB" w:rsidP="00770BEB">
      <w:pPr>
        <w:tabs>
          <w:tab w:val="left" w:pos="6510"/>
        </w:tabs>
        <w:spacing w:after="0"/>
        <w:ind w:left="360"/>
      </w:pPr>
      <w:r>
        <w:tab/>
      </w:r>
    </w:p>
    <w:p w:rsidR="00AA1B49" w:rsidRDefault="00AA1B49" w:rsidP="00DF6E8A">
      <w:r>
        <w:t>Los resultados obtenidos en dicha fiscalización, son gracias al cumplimiento que tienen las diferentes unidades municipales, tanto en elaboración como envío de antecedentes para el levantamiento por parte de la Unidad de Transparencia al portal.</w:t>
      </w:r>
    </w:p>
    <w:p w:rsidR="00AA1B49" w:rsidRDefault="00AA1B49" w:rsidP="00AA1B49">
      <w:pPr>
        <w:ind w:left="360"/>
      </w:pPr>
    </w:p>
    <w:p w:rsidR="00AA1B49" w:rsidRDefault="00234B04" w:rsidP="00BF13E4">
      <w:pPr>
        <w:rPr>
          <w:b/>
        </w:rPr>
      </w:pPr>
      <w:r>
        <w:rPr>
          <w:b/>
        </w:rPr>
        <w:t xml:space="preserve">Derecho de </w:t>
      </w:r>
      <w:r w:rsidR="00AA1B49" w:rsidRPr="00BE74CD">
        <w:rPr>
          <w:b/>
        </w:rPr>
        <w:t>Acceso a la Información</w:t>
      </w:r>
    </w:p>
    <w:p w:rsidR="00AA1B49" w:rsidRDefault="00234B04" w:rsidP="00234B04">
      <w:r>
        <w:t>Con fecha, 16 de octubre de 2018, es emitido el informe de “Proceso de Fiscalización de Modalidad Electrónica  focalizada en la respuesta de las municipalidades 2018”, y cuyos resultados son los siguientes:</w:t>
      </w:r>
    </w:p>
    <w:p w:rsidR="00234B04" w:rsidRDefault="00234B04" w:rsidP="00234B04"/>
    <w:p w:rsidR="00AA1B49" w:rsidRDefault="00920E23" w:rsidP="00AA1B49">
      <w:pPr>
        <w:spacing w:after="0" w:line="240" w:lineRule="auto"/>
        <w:ind w:left="360"/>
      </w:pPr>
      <w:r>
        <w:rPr>
          <w:noProof/>
          <w:lang w:eastAsia="es-ES"/>
        </w:rPr>
        <w:drawing>
          <wp:inline distT="0" distB="0" distL="0" distR="0">
            <wp:extent cx="5612130" cy="1404984"/>
            <wp:effectExtent l="1905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612130" cy="1404984"/>
                    </a:xfrm>
                    <a:prstGeom prst="rect">
                      <a:avLst/>
                    </a:prstGeom>
                    <a:noFill/>
                    <a:ln w="9525">
                      <a:noFill/>
                      <a:miter lim="800000"/>
                      <a:headEnd/>
                      <a:tailEnd/>
                    </a:ln>
                  </pic:spPr>
                </pic:pic>
              </a:graphicData>
            </a:graphic>
          </wp:inline>
        </w:drawing>
      </w:r>
    </w:p>
    <w:p w:rsidR="00AA1B49" w:rsidRDefault="00AA1B49" w:rsidP="00AA1B49">
      <w:pPr>
        <w:spacing w:after="0" w:line="240" w:lineRule="auto"/>
        <w:ind w:left="708"/>
        <w:rPr>
          <w:sz w:val="20"/>
          <w:szCs w:val="20"/>
        </w:rPr>
      </w:pPr>
      <w:r w:rsidRPr="00235932">
        <w:rPr>
          <w:sz w:val="20"/>
          <w:szCs w:val="20"/>
        </w:rPr>
        <w:t xml:space="preserve">Fuente: Informe de fiscalización Derecho de Acceso a la Información, de fecha </w:t>
      </w:r>
      <w:r w:rsidR="00920E23">
        <w:rPr>
          <w:sz w:val="20"/>
          <w:szCs w:val="20"/>
        </w:rPr>
        <w:t>18</w:t>
      </w:r>
      <w:r w:rsidRPr="00235932">
        <w:rPr>
          <w:sz w:val="20"/>
          <w:szCs w:val="20"/>
        </w:rPr>
        <w:t xml:space="preserve"> de Octubre de 201</w:t>
      </w:r>
      <w:r w:rsidR="00920E23">
        <w:rPr>
          <w:sz w:val="20"/>
          <w:szCs w:val="20"/>
        </w:rPr>
        <w:t>8</w:t>
      </w:r>
    </w:p>
    <w:p w:rsidR="00AA1B49" w:rsidRDefault="00AA1B49" w:rsidP="00AA1B49">
      <w:pPr>
        <w:spacing w:after="0" w:line="240" w:lineRule="auto"/>
        <w:rPr>
          <w:sz w:val="20"/>
          <w:szCs w:val="20"/>
        </w:rPr>
      </w:pPr>
    </w:p>
    <w:p w:rsidR="00DF6E8A" w:rsidRDefault="00DF6E8A" w:rsidP="00AA1B49">
      <w:pPr>
        <w:spacing w:after="0" w:line="240" w:lineRule="auto"/>
        <w:rPr>
          <w:sz w:val="20"/>
          <w:szCs w:val="20"/>
        </w:rPr>
      </w:pPr>
    </w:p>
    <w:p w:rsidR="00DF6E8A" w:rsidRDefault="00DF6E8A" w:rsidP="00AA1B49">
      <w:pPr>
        <w:spacing w:after="0" w:line="240" w:lineRule="auto"/>
        <w:rPr>
          <w:sz w:val="20"/>
          <w:szCs w:val="20"/>
        </w:rPr>
      </w:pPr>
    </w:p>
    <w:p w:rsidR="007D1546" w:rsidRDefault="007D1546" w:rsidP="00AA1B49">
      <w:pPr>
        <w:spacing w:after="0" w:line="240" w:lineRule="auto"/>
        <w:rPr>
          <w:sz w:val="20"/>
          <w:szCs w:val="20"/>
        </w:rPr>
      </w:pPr>
    </w:p>
    <w:p w:rsidR="00DF6E8A" w:rsidRDefault="00DF6E8A" w:rsidP="00AA1B49">
      <w:pPr>
        <w:spacing w:after="0" w:line="240" w:lineRule="auto"/>
        <w:rPr>
          <w:sz w:val="20"/>
          <w:szCs w:val="20"/>
        </w:rPr>
      </w:pPr>
    </w:p>
    <w:p w:rsidR="00AA1B49" w:rsidRDefault="00AA1B49" w:rsidP="00AA1B49">
      <w:pPr>
        <w:spacing w:after="0" w:line="240" w:lineRule="auto"/>
      </w:pPr>
      <w:r w:rsidRPr="00214238">
        <w:lastRenderedPageBreak/>
        <w:t>Puntajes históricos en Solicitudes de Acceso a la Información:</w:t>
      </w:r>
    </w:p>
    <w:p w:rsidR="00920E23" w:rsidRPr="00214238" w:rsidRDefault="00920E23" w:rsidP="00AA1B49">
      <w:pPr>
        <w:spacing w:after="0" w:line="240" w:lineRule="auto"/>
      </w:pPr>
    </w:p>
    <w:p w:rsidR="00AA1B49" w:rsidRPr="00235932" w:rsidRDefault="00920E23" w:rsidP="00AA1B49">
      <w:pPr>
        <w:spacing w:after="0" w:line="240" w:lineRule="auto"/>
        <w:rPr>
          <w:sz w:val="20"/>
          <w:szCs w:val="20"/>
        </w:rPr>
      </w:pPr>
      <w:r>
        <w:rPr>
          <w:noProof/>
          <w:sz w:val="20"/>
          <w:szCs w:val="20"/>
          <w:lang w:eastAsia="es-ES"/>
        </w:rPr>
        <w:drawing>
          <wp:anchor distT="0" distB="0" distL="114300" distR="114300" simplePos="0" relativeHeight="251662336" behindDoc="0" locked="0" layoutInCell="1" allowOverlap="1">
            <wp:simplePos x="0" y="0"/>
            <wp:positionH relativeFrom="column">
              <wp:posOffset>958215</wp:posOffset>
            </wp:positionH>
            <wp:positionV relativeFrom="paragraph">
              <wp:posOffset>22225</wp:posOffset>
            </wp:positionV>
            <wp:extent cx="4038600" cy="203835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038600" cy="2038350"/>
                    </a:xfrm>
                    <a:prstGeom prst="rect">
                      <a:avLst/>
                    </a:prstGeom>
                    <a:noFill/>
                    <a:ln w="9525">
                      <a:noFill/>
                      <a:miter lim="800000"/>
                      <a:headEnd/>
                      <a:tailEnd/>
                    </a:ln>
                  </pic:spPr>
                </pic:pic>
              </a:graphicData>
            </a:graphic>
          </wp:anchor>
        </w:drawing>
      </w:r>
    </w:p>
    <w:p w:rsidR="00AA1B49" w:rsidRDefault="00AA1B49" w:rsidP="00AA1B49">
      <w:pPr>
        <w:spacing w:after="0"/>
        <w:ind w:left="360"/>
      </w:pPr>
    </w:p>
    <w:p w:rsidR="00AA1B49" w:rsidRDefault="00AA1B49"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920E23" w:rsidRDefault="00920E23" w:rsidP="00AA1B49">
      <w:pPr>
        <w:spacing w:after="0" w:line="240" w:lineRule="auto"/>
        <w:ind w:left="708"/>
        <w:rPr>
          <w:sz w:val="20"/>
          <w:szCs w:val="20"/>
        </w:rPr>
      </w:pPr>
    </w:p>
    <w:p w:rsidR="00AA1B49" w:rsidRDefault="00AA1B49" w:rsidP="00AA1B49">
      <w:pPr>
        <w:spacing w:after="0" w:line="240" w:lineRule="auto"/>
        <w:ind w:left="708"/>
        <w:rPr>
          <w:sz w:val="20"/>
          <w:szCs w:val="20"/>
        </w:rPr>
      </w:pPr>
      <w:r w:rsidRPr="00235932">
        <w:rPr>
          <w:sz w:val="20"/>
          <w:szCs w:val="20"/>
        </w:rPr>
        <w:t xml:space="preserve">Fuente: Informe de fiscalización Derecho de Acceso a la Información, de fecha </w:t>
      </w:r>
      <w:r w:rsidR="00920E23">
        <w:rPr>
          <w:sz w:val="20"/>
          <w:szCs w:val="20"/>
        </w:rPr>
        <w:t>18</w:t>
      </w:r>
      <w:r w:rsidRPr="00235932">
        <w:rPr>
          <w:sz w:val="20"/>
          <w:szCs w:val="20"/>
        </w:rPr>
        <w:t xml:space="preserve"> de Octubre de 201</w:t>
      </w:r>
      <w:r w:rsidR="00920E23">
        <w:rPr>
          <w:sz w:val="20"/>
          <w:szCs w:val="20"/>
        </w:rPr>
        <w:t>8</w:t>
      </w:r>
    </w:p>
    <w:p w:rsidR="00AA1B49" w:rsidRDefault="00AA1B49" w:rsidP="00AA1B49">
      <w:pPr>
        <w:rPr>
          <w:rFonts w:ascii="Calibri" w:hAnsi="Calibri"/>
        </w:rPr>
      </w:pPr>
    </w:p>
    <w:p w:rsidR="00AA1B49" w:rsidRDefault="00AA1B49" w:rsidP="00DF6E8A">
      <w:r>
        <w:t>Todas las Solicitudes de Acceso a la Información han sido respondidas en los plazos establecidos de acu</w:t>
      </w:r>
      <w:r w:rsidR="00234B04">
        <w:t>erdo a las normativas vigentes, la baja en la fiscalización se debe a que en la entrega de una respuesta, se omitió involuntariamente responder una de las preguntas realizadas.</w:t>
      </w:r>
    </w:p>
    <w:p w:rsidR="00DF6E8A" w:rsidRDefault="00DF6E8A" w:rsidP="00DF6E8A"/>
    <w:p w:rsidR="004A36B1" w:rsidRDefault="004A36B1" w:rsidP="004A36B1">
      <w:pPr>
        <w:spacing w:after="0" w:line="240" w:lineRule="auto"/>
      </w:pPr>
    </w:p>
    <w:p w:rsidR="004A36B1" w:rsidRPr="004A36B1" w:rsidRDefault="00DF6E8A" w:rsidP="004A36B1">
      <w:pPr>
        <w:spacing w:after="0" w:line="240" w:lineRule="auto"/>
      </w:pPr>
      <w:r>
        <w:t>Sin otro particular, me despido,</w:t>
      </w:r>
    </w:p>
    <w:p w:rsidR="004A36B1" w:rsidRDefault="004A36B1" w:rsidP="004A36B1">
      <w:pPr>
        <w:spacing w:after="0" w:line="240" w:lineRule="auto"/>
        <w:rPr>
          <w:b/>
        </w:rPr>
      </w:pPr>
    </w:p>
    <w:p w:rsidR="00BF13E4" w:rsidRDefault="00BF13E4" w:rsidP="004A36B1">
      <w:pPr>
        <w:spacing w:after="0" w:line="240" w:lineRule="auto"/>
        <w:rPr>
          <w:b/>
        </w:rPr>
      </w:pPr>
    </w:p>
    <w:p w:rsidR="004A36B1" w:rsidRDefault="004A36B1" w:rsidP="004A36B1">
      <w:pPr>
        <w:spacing w:after="0" w:line="240" w:lineRule="auto"/>
        <w:rPr>
          <w:b/>
        </w:rPr>
      </w:pPr>
    </w:p>
    <w:p w:rsidR="004A36B1" w:rsidRDefault="004A36B1" w:rsidP="004A36B1">
      <w:pPr>
        <w:spacing w:after="0" w:line="240" w:lineRule="auto"/>
        <w:rPr>
          <w:b/>
        </w:rPr>
      </w:pPr>
    </w:p>
    <w:p w:rsidR="004A36B1" w:rsidRPr="004A36B1" w:rsidRDefault="004A36B1" w:rsidP="004A36B1">
      <w:pPr>
        <w:spacing w:after="0" w:line="240" w:lineRule="auto"/>
        <w:rPr>
          <w:b/>
        </w:rPr>
      </w:pPr>
    </w:p>
    <w:p w:rsidR="004A36B1" w:rsidRPr="004A36B1" w:rsidRDefault="004A36B1" w:rsidP="004A36B1">
      <w:pPr>
        <w:spacing w:after="0" w:line="240" w:lineRule="auto"/>
        <w:jc w:val="center"/>
        <w:rPr>
          <w:b/>
        </w:rPr>
      </w:pPr>
      <w:r w:rsidRPr="004A36B1">
        <w:rPr>
          <w:b/>
        </w:rPr>
        <w:t>Laura Pulgar Aranda</w:t>
      </w:r>
    </w:p>
    <w:p w:rsidR="004A36B1" w:rsidRDefault="004A36B1" w:rsidP="004A36B1">
      <w:pPr>
        <w:spacing w:after="0" w:line="240" w:lineRule="auto"/>
        <w:jc w:val="center"/>
        <w:rPr>
          <w:b/>
        </w:rPr>
      </w:pPr>
      <w:r w:rsidRPr="004A36B1">
        <w:rPr>
          <w:b/>
        </w:rPr>
        <w:t>Encargada de Transparencia Municipal</w:t>
      </w:r>
    </w:p>
    <w:p w:rsidR="00A10B80" w:rsidRDefault="00A10B80" w:rsidP="004A36B1">
      <w:pPr>
        <w:spacing w:after="0" w:line="240" w:lineRule="auto"/>
        <w:jc w:val="center"/>
        <w:rPr>
          <w:b/>
        </w:rPr>
      </w:pPr>
    </w:p>
    <w:p w:rsidR="004A36B1" w:rsidRDefault="004A36B1" w:rsidP="004A36B1">
      <w:pPr>
        <w:spacing w:after="0" w:line="240" w:lineRule="auto"/>
        <w:jc w:val="center"/>
        <w:rPr>
          <w:b/>
        </w:rPr>
      </w:pPr>
    </w:p>
    <w:p w:rsidR="004A36B1" w:rsidRPr="004A36B1" w:rsidRDefault="004A36B1" w:rsidP="004A36B1">
      <w:pPr>
        <w:spacing w:after="0" w:line="240" w:lineRule="auto"/>
        <w:jc w:val="both"/>
      </w:pPr>
      <w:r w:rsidRPr="004A36B1">
        <w:t xml:space="preserve">Casablanca, </w:t>
      </w:r>
      <w:r w:rsidR="00BF13E4">
        <w:t>Marzo</w:t>
      </w:r>
      <w:r w:rsidR="00234B04">
        <w:t xml:space="preserve"> de 2019</w:t>
      </w:r>
      <w:r w:rsidRPr="004A36B1">
        <w:t>.</w:t>
      </w:r>
    </w:p>
    <w:p w:rsidR="00702BE5" w:rsidRPr="004A36B1" w:rsidRDefault="00702BE5" w:rsidP="00D65D1C">
      <w:pPr>
        <w:ind w:left="360"/>
      </w:pPr>
    </w:p>
    <w:p w:rsidR="00702BE5" w:rsidRPr="004A36B1" w:rsidRDefault="00702BE5" w:rsidP="00D65D1C">
      <w:pPr>
        <w:ind w:left="360"/>
      </w:pPr>
    </w:p>
    <w:sectPr w:rsidR="00702BE5" w:rsidRPr="004A36B1" w:rsidSect="004A36B1">
      <w:headerReference w:type="default" r:id="rId17"/>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20" w:rsidRDefault="00C35F20" w:rsidP="007B641F">
      <w:pPr>
        <w:spacing w:after="0" w:line="240" w:lineRule="auto"/>
      </w:pPr>
      <w:r>
        <w:separator/>
      </w:r>
    </w:p>
  </w:endnote>
  <w:endnote w:type="continuationSeparator" w:id="1">
    <w:p w:rsidR="00C35F20" w:rsidRDefault="00C35F20" w:rsidP="007B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5146"/>
      <w:docPartObj>
        <w:docPartGallery w:val="Page Numbers (Bottom of Page)"/>
        <w:docPartUnique/>
      </w:docPartObj>
    </w:sdtPr>
    <w:sdtContent>
      <w:p w:rsidR="00920E23" w:rsidRDefault="00986235">
        <w:pPr>
          <w:pStyle w:val="Piedepgina"/>
          <w:jc w:val="right"/>
        </w:pPr>
        <w:fldSimple w:instr=" PAGE   \* MERGEFORMAT ">
          <w:r w:rsidR="00E54D73">
            <w:rPr>
              <w:noProof/>
            </w:rPr>
            <w:t>6</w:t>
          </w:r>
        </w:fldSimple>
      </w:p>
    </w:sdtContent>
  </w:sdt>
  <w:p w:rsidR="00920E23" w:rsidRDefault="00920E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20" w:rsidRDefault="00C35F20" w:rsidP="007B641F">
      <w:pPr>
        <w:spacing w:after="0" w:line="240" w:lineRule="auto"/>
      </w:pPr>
      <w:r>
        <w:separator/>
      </w:r>
    </w:p>
  </w:footnote>
  <w:footnote w:type="continuationSeparator" w:id="1">
    <w:p w:rsidR="00C35F20" w:rsidRDefault="00C35F20" w:rsidP="007B6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23" w:rsidRDefault="00920E23" w:rsidP="00A10B80">
    <w:pPr>
      <w:pStyle w:val="Encabezado"/>
      <w:jc w:val="right"/>
    </w:pPr>
    <w:r>
      <w:t>Informe II Semestre año 2018</w:t>
    </w:r>
  </w:p>
  <w:p w:rsidR="00920E23" w:rsidRDefault="00920E23" w:rsidP="00A10B80">
    <w:pPr>
      <w:pStyle w:val="Encabezado"/>
      <w:jc w:val="right"/>
    </w:pPr>
    <w:r>
      <w:t>Unidad de Transparencia Municipal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765CD"/>
    <w:multiLevelType w:val="hybridMultilevel"/>
    <w:tmpl w:val="7BAE6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55C7933"/>
    <w:multiLevelType w:val="hybridMultilevel"/>
    <w:tmpl w:val="342E2BBA"/>
    <w:lvl w:ilvl="0" w:tplc="08DAFD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B7152F"/>
    <w:multiLevelType w:val="hybridMultilevel"/>
    <w:tmpl w:val="BB380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D0F03"/>
    <w:rsid w:val="00046641"/>
    <w:rsid w:val="0004796E"/>
    <w:rsid w:val="00052D70"/>
    <w:rsid w:val="000B6161"/>
    <w:rsid w:val="000C5B0D"/>
    <w:rsid w:val="000D1893"/>
    <w:rsid w:val="001021D8"/>
    <w:rsid w:val="00145E4A"/>
    <w:rsid w:val="001A2ACC"/>
    <w:rsid w:val="00214238"/>
    <w:rsid w:val="00234B04"/>
    <w:rsid w:val="00235932"/>
    <w:rsid w:val="002675F3"/>
    <w:rsid w:val="0028630C"/>
    <w:rsid w:val="002E6184"/>
    <w:rsid w:val="002F1C09"/>
    <w:rsid w:val="00327E6B"/>
    <w:rsid w:val="00346935"/>
    <w:rsid w:val="00351D84"/>
    <w:rsid w:val="00381030"/>
    <w:rsid w:val="003A633B"/>
    <w:rsid w:val="004057F2"/>
    <w:rsid w:val="004231BE"/>
    <w:rsid w:val="00437A1A"/>
    <w:rsid w:val="004431F5"/>
    <w:rsid w:val="0044601F"/>
    <w:rsid w:val="004560B7"/>
    <w:rsid w:val="004A36B1"/>
    <w:rsid w:val="004C074A"/>
    <w:rsid w:val="00530B95"/>
    <w:rsid w:val="006232B2"/>
    <w:rsid w:val="00640B71"/>
    <w:rsid w:val="0064646D"/>
    <w:rsid w:val="006D0F03"/>
    <w:rsid w:val="00702BE5"/>
    <w:rsid w:val="00716EA8"/>
    <w:rsid w:val="007339D7"/>
    <w:rsid w:val="007455EA"/>
    <w:rsid w:val="00770BEB"/>
    <w:rsid w:val="00794709"/>
    <w:rsid w:val="007B641F"/>
    <w:rsid w:val="007D1546"/>
    <w:rsid w:val="00871AD8"/>
    <w:rsid w:val="008B25DC"/>
    <w:rsid w:val="009071B2"/>
    <w:rsid w:val="00907595"/>
    <w:rsid w:val="0091391A"/>
    <w:rsid w:val="00920E23"/>
    <w:rsid w:val="00931F5C"/>
    <w:rsid w:val="0094097A"/>
    <w:rsid w:val="00986235"/>
    <w:rsid w:val="009C6F3E"/>
    <w:rsid w:val="009E451B"/>
    <w:rsid w:val="00A10B80"/>
    <w:rsid w:val="00AA1B49"/>
    <w:rsid w:val="00B023FF"/>
    <w:rsid w:val="00B257FC"/>
    <w:rsid w:val="00B41BCF"/>
    <w:rsid w:val="00BA1EDB"/>
    <w:rsid w:val="00BE74CD"/>
    <w:rsid w:val="00BF13E4"/>
    <w:rsid w:val="00BF38A0"/>
    <w:rsid w:val="00C35F20"/>
    <w:rsid w:val="00C8159C"/>
    <w:rsid w:val="00CB6981"/>
    <w:rsid w:val="00D42BDC"/>
    <w:rsid w:val="00D65D1C"/>
    <w:rsid w:val="00D66B61"/>
    <w:rsid w:val="00D66EED"/>
    <w:rsid w:val="00DB77E4"/>
    <w:rsid w:val="00DC3EFA"/>
    <w:rsid w:val="00DD3C3C"/>
    <w:rsid w:val="00DF6E8A"/>
    <w:rsid w:val="00E54D73"/>
    <w:rsid w:val="00EB14CE"/>
    <w:rsid w:val="00F5092D"/>
    <w:rsid w:val="00F517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61"/>
    <w:pPr>
      <w:ind w:left="720"/>
      <w:contextualSpacing/>
    </w:pPr>
  </w:style>
  <w:style w:type="character" w:customStyle="1" w:styleId="tematitle1">
    <w:name w:val="tema_title1"/>
    <w:basedOn w:val="Fuentedeprrafopredeter"/>
    <w:rsid w:val="0091391A"/>
    <w:rPr>
      <w:rFonts w:ascii="Open Sans" w:hAnsi="Open Sans" w:hint="default"/>
      <w:sz w:val="21"/>
      <w:szCs w:val="21"/>
    </w:rPr>
  </w:style>
  <w:style w:type="paragraph" w:styleId="Encabezado">
    <w:name w:val="header"/>
    <w:basedOn w:val="Normal"/>
    <w:link w:val="EncabezadoCar"/>
    <w:uiPriority w:val="99"/>
    <w:unhideWhenUsed/>
    <w:rsid w:val="007B6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41F"/>
  </w:style>
  <w:style w:type="paragraph" w:styleId="Piedepgina">
    <w:name w:val="footer"/>
    <w:basedOn w:val="Normal"/>
    <w:link w:val="PiedepginaCar"/>
    <w:uiPriority w:val="99"/>
    <w:unhideWhenUsed/>
    <w:rsid w:val="007B6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41F"/>
  </w:style>
  <w:style w:type="paragraph" w:styleId="Textodeglobo">
    <w:name w:val="Balloon Text"/>
    <w:basedOn w:val="Normal"/>
    <w:link w:val="TextodegloboCar"/>
    <w:uiPriority w:val="99"/>
    <w:semiHidden/>
    <w:unhideWhenUsed/>
    <w:rsid w:val="007B6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41F"/>
    <w:rPr>
      <w:rFonts w:ascii="Tahoma" w:hAnsi="Tahoma" w:cs="Tahoma"/>
      <w:sz w:val="16"/>
      <w:szCs w:val="16"/>
    </w:rPr>
  </w:style>
  <w:style w:type="table" w:styleId="Tablaconcuadrcula">
    <w:name w:val="Table Grid"/>
    <w:basedOn w:val="Tablanormal"/>
    <w:uiPriority w:val="59"/>
    <w:rsid w:val="006232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65735">
      <w:bodyDiv w:val="1"/>
      <w:marLeft w:val="0"/>
      <w:marRight w:val="0"/>
      <w:marTop w:val="0"/>
      <w:marBottom w:val="0"/>
      <w:divBdr>
        <w:top w:val="none" w:sz="0" w:space="0" w:color="auto"/>
        <w:left w:val="none" w:sz="0" w:space="0" w:color="auto"/>
        <w:bottom w:val="none" w:sz="0" w:space="0" w:color="auto"/>
        <w:right w:val="none" w:sz="0" w:space="0" w:color="auto"/>
      </w:divBdr>
    </w:div>
    <w:div w:id="617302850">
      <w:bodyDiv w:val="1"/>
      <w:marLeft w:val="0"/>
      <w:marRight w:val="0"/>
      <w:marTop w:val="0"/>
      <w:marBottom w:val="0"/>
      <w:divBdr>
        <w:top w:val="none" w:sz="0" w:space="0" w:color="auto"/>
        <w:left w:val="none" w:sz="0" w:space="0" w:color="auto"/>
        <w:bottom w:val="none" w:sz="0" w:space="0" w:color="auto"/>
        <w:right w:val="none" w:sz="0" w:space="0" w:color="auto"/>
      </w:divBdr>
    </w:div>
    <w:div w:id="1086266009">
      <w:bodyDiv w:val="1"/>
      <w:marLeft w:val="0"/>
      <w:marRight w:val="0"/>
      <w:marTop w:val="0"/>
      <w:marBottom w:val="0"/>
      <w:divBdr>
        <w:top w:val="none" w:sz="0" w:space="0" w:color="auto"/>
        <w:left w:val="none" w:sz="0" w:space="0" w:color="auto"/>
        <w:bottom w:val="none" w:sz="0" w:space="0" w:color="auto"/>
        <w:right w:val="none" w:sz="0" w:space="0" w:color="auto"/>
      </w:divBdr>
    </w:div>
    <w:div w:id="15711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Solicitudes II</a:t>
            </a:r>
            <a:r>
              <a:rPr lang="es-ES" baseline="0"/>
              <a:t> Semestre</a:t>
            </a:r>
            <a:endParaRPr lang="es-ES"/>
          </a:p>
        </c:rich>
      </c:tx>
    </c:title>
    <c:plotArea>
      <c:layout>
        <c:manualLayout>
          <c:layoutTarget val="inner"/>
          <c:xMode val="edge"/>
          <c:yMode val="edge"/>
          <c:x val="3.0555555555555582E-2"/>
          <c:y val="0.26878681831437767"/>
          <c:w val="0.93888888888888944"/>
          <c:h val="0.48729731700204171"/>
        </c:manualLayout>
      </c:layout>
      <c:barChart>
        <c:barDir val="col"/>
        <c:grouping val="clustered"/>
        <c:ser>
          <c:idx val="0"/>
          <c:order val="0"/>
          <c:tx>
            <c:strRef>
              <c:f>Hoja1!$C$42</c:f>
              <c:strCache>
                <c:ptCount val="1"/>
                <c:pt idx="0">
                  <c:v>Año 2016</c:v>
                </c:pt>
              </c:strCache>
            </c:strRef>
          </c:tx>
          <c:dLbls>
            <c:showVal val="1"/>
          </c:dLbls>
          <c:cat>
            <c:strRef>
              <c:f>Hoja1!$B$43:$B$49</c:f>
              <c:strCache>
                <c:ptCount val="7"/>
                <c:pt idx="0">
                  <c:v>Julio</c:v>
                </c:pt>
                <c:pt idx="1">
                  <c:v>Agosto</c:v>
                </c:pt>
                <c:pt idx="2">
                  <c:v>Septiembre</c:v>
                </c:pt>
                <c:pt idx="3">
                  <c:v>Octubre</c:v>
                </c:pt>
                <c:pt idx="4">
                  <c:v>Noviembre</c:v>
                </c:pt>
                <c:pt idx="5">
                  <c:v>Diciembre</c:v>
                </c:pt>
                <c:pt idx="6">
                  <c:v>Total II Semestre</c:v>
                </c:pt>
              </c:strCache>
            </c:strRef>
          </c:cat>
          <c:val>
            <c:numRef>
              <c:f>Hoja1!$C$43:$C$49</c:f>
              <c:numCache>
                <c:formatCode>General</c:formatCode>
                <c:ptCount val="7"/>
                <c:pt idx="0">
                  <c:v>7</c:v>
                </c:pt>
                <c:pt idx="1">
                  <c:v>10</c:v>
                </c:pt>
                <c:pt idx="2">
                  <c:v>15</c:v>
                </c:pt>
                <c:pt idx="3">
                  <c:v>14</c:v>
                </c:pt>
                <c:pt idx="4">
                  <c:v>8</c:v>
                </c:pt>
                <c:pt idx="5">
                  <c:v>16</c:v>
                </c:pt>
                <c:pt idx="6">
                  <c:v>66</c:v>
                </c:pt>
              </c:numCache>
            </c:numRef>
          </c:val>
        </c:ser>
        <c:ser>
          <c:idx val="1"/>
          <c:order val="1"/>
          <c:tx>
            <c:strRef>
              <c:f>Hoja1!$D$42</c:f>
              <c:strCache>
                <c:ptCount val="1"/>
                <c:pt idx="0">
                  <c:v>Año 2017</c:v>
                </c:pt>
              </c:strCache>
            </c:strRef>
          </c:tx>
          <c:dLbls>
            <c:showVal val="1"/>
          </c:dLbls>
          <c:cat>
            <c:strRef>
              <c:f>Hoja1!$B$43:$B$49</c:f>
              <c:strCache>
                <c:ptCount val="7"/>
                <c:pt idx="0">
                  <c:v>Julio</c:v>
                </c:pt>
                <c:pt idx="1">
                  <c:v>Agosto</c:v>
                </c:pt>
                <c:pt idx="2">
                  <c:v>Septiembre</c:v>
                </c:pt>
                <c:pt idx="3">
                  <c:v>Octubre</c:v>
                </c:pt>
                <c:pt idx="4">
                  <c:v>Noviembre</c:v>
                </c:pt>
                <c:pt idx="5">
                  <c:v>Diciembre</c:v>
                </c:pt>
                <c:pt idx="6">
                  <c:v>Total II Semestre</c:v>
                </c:pt>
              </c:strCache>
            </c:strRef>
          </c:cat>
          <c:val>
            <c:numRef>
              <c:f>Hoja1!$D$43:$D$49</c:f>
              <c:numCache>
                <c:formatCode>General</c:formatCode>
                <c:ptCount val="7"/>
                <c:pt idx="0">
                  <c:v>9</c:v>
                </c:pt>
                <c:pt idx="1">
                  <c:v>12</c:v>
                </c:pt>
                <c:pt idx="2">
                  <c:v>12</c:v>
                </c:pt>
                <c:pt idx="3">
                  <c:v>17</c:v>
                </c:pt>
                <c:pt idx="4">
                  <c:v>17</c:v>
                </c:pt>
                <c:pt idx="5">
                  <c:v>15</c:v>
                </c:pt>
                <c:pt idx="6">
                  <c:v>82</c:v>
                </c:pt>
              </c:numCache>
            </c:numRef>
          </c:val>
        </c:ser>
        <c:ser>
          <c:idx val="2"/>
          <c:order val="2"/>
          <c:tx>
            <c:strRef>
              <c:f>Hoja1!$E$42</c:f>
              <c:strCache>
                <c:ptCount val="1"/>
                <c:pt idx="0">
                  <c:v>2018</c:v>
                </c:pt>
              </c:strCache>
            </c:strRef>
          </c:tx>
          <c:dLbls>
            <c:showVal val="1"/>
          </c:dLbls>
          <c:cat>
            <c:strRef>
              <c:f>Hoja1!$B$43:$B$49</c:f>
              <c:strCache>
                <c:ptCount val="7"/>
                <c:pt idx="0">
                  <c:v>Julio</c:v>
                </c:pt>
                <c:pt idx="1">
                  <c:v>Agosto</c:v>
                </c:pt>
                <c:pt idx="2">
                  <c:v>Septiembre</c:v>
                </c:pt>
                <c:pt idx="3">
                  <c:v>Octubre</c:v>
                </c:pt>
                <c:pt idx="4">
                  <c:v>Noviembre</c:v>
                </c:pt>
                <c:pt idx="5">
                  <c:v>Diciembre</c:v>
                </c:pt>
                <c:pt idx="6">
                  <c:v>Total II Semestre</c:v>
                </c:pt>
              </c:strCache>
            </c:strRef>
          </c:cat>
          <c:val>
            <c:numRef>
              <c:f>Hoja1!$E$43:$E$49</c:f>
              <c:numCache>
                <c:formatCode>General</c:formatCode>
                <c:ptCount val="7"/>
                <c:pt idx="0">
                  <c:v>13</c:v>
                </c:pt>
                <c:pt idx="1">
                  <c:v>24</c:v>
                </c:pt>
                <c:pt idx="2">
                  <c:v>9</c:v>
                </c:pt>
                <c:pt idx="3">
                  <c:v>24</c:v>
                </c:pt>
                <c:pt idx="4">
                  <c:v>14</c:v>
                </c:pt>
                <c:pt idx="5">
                  <c:v>6</c:v>
                </c:pt>
                <c:pt idx="6">
                  <c:v>90</c:v>
                </c:pt>
              </c:numCache>
            </c:numRef>
          </c:val>
        </c:ser>
        <c:dLbls>
          <c:showVal val="1"/>
        </c:dLbls>
        <c:overlap val="-25"/>
        <c:axId val="91092480"/>
        <c:axId val="91171840"/>
      </c:barChart>
      <c:catAx>
        <c:axId val="91092480"/>
        <c:scaling>
          <c:orientation val="minMax"/>
        </c:scaling>
        <c:axPos val="b"/>
        <c:majorTickMark val="none"/>
        <c:tickLblPos val="nextTo"/>
        <c:crossAx val="91171840"/>
        <c:crosses val="autoZero"/>
        <c:auto val="1"/>
        <c:lblAlgn val="ctr"/>
        <c:lblOffset val="100"/>
      </c:catAx>
      <c:valAx>
        <c:axId val="91171840"/>
        <c:scaling>
          <c:orientation val="minMax"/>
        </c:scaling>
        <c:delete val="1"/>
        <c:axPos val="l"/>
        <c:numFmt formatCode="General" sourceLinked="1"/>
        <c:majorTickMark val="none"/>
        <c:tickLblPos val="nextTo"/>
        <c:crossAx val="91092480"/>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a:t>Etapa</a:t>
            </a:r>
            <a:r>
              <a:rPr lang="en-US" baseline="0"/>
              <a:t> Ejecuación SAI </a:t>
            </a:r>
            <a:endParaRPr lang="en-US"/>
          </a:p>
        </c:rich>
      </c:tx>
    </c:title>
    <c:plotArea>
      <c:layout/>
      <c:barChart>
        <c:barDir val="col"/>
        <c:grouping val="clustered"/>
        <c:ser>
          <c:idx val="0"/>
          <c:order val="0"/>
          <c:tx>
            <c:strRef>
              <c:f>Hoja1!$C$3</c:f>
              <c:strCache>
                <c:ptCount val="1"/>
                <c:pt idx="0">
                  <c:v>Año 2016</c:v>
                </c:pt>
              </c:strCache>
            </c:strRef>
          </c:tx>
          <c:dLbls>
            <c:showVal val="1"/>
          </c:dLbls>
          <c:cat>
            <c:strRef>
              <c:f>Hoja1!$B$4:$B$9</c:f>
              <c:strCache>
                <c:ptCount val="6"/>
                <c:pt idx="0">
                  <c:v>Etapa de cumplimiento</c:v>
                </c:pt>
                <c:pt idx="1">
                  <c:v>No es SAI / desistida/anulada</c:v>
                </c:pt>
                <c:pt idx="2">
                  <c:v>Espera pago costos de reproducción</c:v>
                </c:pt>
                <c:pt idx="3">
                  <c:v>Derivadas</c:v>
                </c:pt>
                <c:pt idx="4">
                  <c:v>Análisis y Búsqueda</c:v>
                </c:pt>
                <c:pt idx="5">
                  <c:v>N° Solicitudes</c:v>
                </c:pt>
              </c:strCache>
            </c:strRef>
          </c:cat>
          <c:val>
            <c:numRef>
              <c:f>Hoja1!$C$4:$C$9</c:f>
              <c:numCache>
                <c:formatCode>General</c:formatCode>
                <c:ptCount val="6"/>
                <c:pt idx="0">
                  <c:v>64</c:v>
                </c:pt>
                <c:pt idx="1">
                  <c:v>2</c:v>
                </c:pt>
                <c:pt idx="2">
                  <c:v>0</c:v>
                </c:pt>
                <c:pt idx="3">
                  <c:v>0</c:v>
                </c:pt>
                <c:pt idx="4">
                  <c:v>0</c:v>
                </c:pt>
                <c:pt idx="5">
                  <c:v>66</c:v>
                </c:pt>
              </c:numCache>
            </c:numRef>
          </c:val>
        </c:ser>
        <c:ser>
          <c:idx val="1"/>
          <c:order val="1"/>
          <c:tx>
            <c:strRef>
              <c:f>Hoja1!$D$3</c:f>
              <c:strCache>
                <c:ptCount val="1"/>
                <c:pt idx="0">
                  <c:v>Año 2017</c:v>
                </c:pt>
              </c:strCache>
            </c:strRef>
          </c:tx>
          <c:dLbls>
            <c:showVal val="1"/>
          </c:dLbls>
          <c:cat>
            <c:strRef>
              <c:f>Hoja1!$B$4:$B$9</c:f>
              <c:strCache>
                <c:ptCount val="6"/>
                <c:pt idx="0">
                  <c:v>Etapa de cumplimiento</c:v>
                </c:pt>
                <c:pt idx="1">
                  <c:v>No es SAI / desistida/anulada</c:v>
                </c:pt>
                <c:pt idx="2">
                  <c:v>Espera pago costos de reproducción</c:v>
                </c:pt>
                <c:pt idx="3">
                  <c:v>Derivadas</c:v>
                </c:pt>
                <c:pt idx="4">
                  <c:v>Análisis y Búsqueda</c:v>
                </c:pt>
                <c:pt idx="5">
                  <c:v>N° Solicitudes</c:v>
                </c:pt>
              </c:strCache>
            </c:strRef>
          </c:cat>
          <c:val>
            <c:numRef>
              <c:f>Hoja1!$D$4:$D$9</c:f>
              <c:numCache>
                <c:formatCode>General</c:formatCode>
                <c:ptCount val="6"/>
                <c:pt idx="0">
                  <c:v>78</c:v>
                </c:pt>
                <c:pt idx="1">
                  <c:v>4</c:v>
                </c:pt>
                <c:pt idx="2">
                  <c:v>0</c:v>
                </c:pt>
                <c:pt idx="3">
                  <c:v>0</c:v>
                </c:pt>
                <c:pt idx="4">
                  <c:v>0</c:v>
                </c:pt>
                <c:pt idx="5">
                  <c:v>82</c:v>
                </c:pt>
              </c:numCache>
            </c:numRef>
          </c:val>
        </c:ser>
        <c:ser>
          <c:idx val="2"/>
          <c:order val="2"/>
          <c:tx>
            <c:strRef>
              <c:f>Hoja1!$E$3</c:f>
              <c:strCache>
                <c:ptCount val="1"/>
                <c:pt idx="0">
                  <c:v>Año 2018</c:v>
                </c:pt>
              </c:strCache>
            </c:strRef>
          </c:tx>
          <c:dLbls>
            <c:showVal val="1"/>
          </c:dLbls>
          <c:cat>
            <c:strRef>
              <c:f>Hoja1!$B$4:$B$9</c:f>
              <c:strCache>
                <c:ptCount val="6"/>
                <c:pt idx="0">
                  <c:v>Etapa de cumplimiento</c:v>
                </c:pt>
                <c:pt idx="1">
                  <c:v>No es SAI / desistida/anulada</c:v>
                </c:pt>
                <c:pt idx="2">
                  <c:v>Espera pago costos de reproducción</c:v>
                </c:pt>
                <c:pt idx="3">
                  <c:v>Derivadas</c:v>
                </c:pt>
                <c:pt idx="4">
                  <c:v>Análisis y Búsqueda</c:v>
                </c:pt>
                <c:pt idx="5">
                  <c:v>N° Solicitudes</c:v>
                </c:pt>
              </c:strCache>
            </c:strRef>
          </c:cat>
          <c:val>
            <c:numRef>
              <c:f>Hoja1!$E$4:$E$9</c:f>
              <c:numCache>
                <c:formatCode>General</c:formatCode>
                <c:ptCount val="6"/>
                <c:pt idx="0">
                  <c:v>87</c:v>
                </c:pt>
                <c:pt idx="1">
                  <c:v>3</c:v>
                </c:pt>
                <c:pt idx="2">
                  <c:v>0</c:v>
                </c:pt>
                <c:pt idx="3">
                  <c:v>0</c:v>
                </c:pt>
                <c:pt idx="4">
                  <c:v>0</c:v>
                </c:pt>
                <c:pt idx="5">
                  <c:v>90</c:v>
                </c:pt>
              </c:numCache>
            </c:numRef>
          </c:val>
        </c:ser>
        <c:dLbls>
          <c:showVal val="1"/>
        </c:dLbls>
        <c:axId val="129152128"/>
        <c:axId val="129153664"/>
      </c:barChart>
      <c:catAx>
        <c:axId val="129152128"/>
        <c:scaling>
          <c:orientation val="minMax"/>
        </c:scaling>
        <c:axPos val="b"/>
        <c:majorTickMark val="none"/>
        <c:tickLblPos val="nextTo"/>
        <c:crossAx val="129153664"/>
        <c:crosses val="autoZero"/>
        <c:auto val="1"/>
        <c:lblAlgn val="ctr"/>
        <c:lblOffset val="100"/>
      </c:catAx>
      <c:valAx>
        <c:axId val="129153664"/>
        <c:scaling>
          <c:orientation val="minMax"/>
        </c:scaling>
        <c:delete val="1"/>
        <c:axPos val="l"/>
        <c:numFmt formatCode="General" sourceLinked="1"/>
        <c:majorTickMark val="none"/>
        <c:tickLblPos val="nextTo"/>
        <c:crossAx val="129152128"/>
        <c:crosses val="autoZero"/>
        <c:crossBetween val="between"/>
      </c:valAx>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Derivación</a:t>
            </a:r>
            <a:r>
              <a:rPr lang="es-ES" baseline="0"/>
              <a:t> por Unidad</a:t>
            </a:r>
            <a:endParaRPr lang="es-ES"/>
          </a:p>
        </c:rich>
      </c:tx>
    </c:title>
    <c:plotArea>
      <c:layout/>
      <c:barChart>
        <c:barDir val="col"/>
        <c:grouping val="clustered"/>
        <c:ser>
          <c:idx val="0"/>
          <c:order val="0"/>
          <c:tx>
            <c:strRef>
              <c:f>Hoja1!$C$67</c:f>
              <c:strCache>
                <c:ptCount val="1"/>
                <c:pt idx="0">
                  <c:v>Año 2016</c:v>
                </c:pt>
              </c:strCache>
            </c:strRef>
          </c:tx>
          <c:dLbls>
            <c:showVal val="1"/>
          </c:dLbls>
          <c:cat>
            <c:strRef>
              <c:f>Hoja1!$B$68:$B$83</c:f>
              <c:strCache>
                <c:ptCount val="16"/>
                <c:pt idx="0">
                  <c:v>DAF</c:v>
                </c:pt>
                <c:pt idx="1">
                  <c:v>JURIDICO</c:v>
                </c:pt>
                <c:pt idx="2">
                  <c:v>DIDECO</c:v>
                </c:pt>
                <c:pt idx="3">
                  <c:v>DAEM</c:v>
                </c:pt>
                <c:pt idx="4">
                  <c:v>SALUD</c:v>
                </c:pt>
                <c:pt idx="5">
                  <c:v>TRANSITO</c:v>
                </c:pt>
                <c:pt idx="6">
                  <c:v>ASEO</c:v>
                </c:pt>
                <c:pt idx="7">
                  <c:v>DOM</c:v>
                </c:pt>
                <c:pt idx="8">
                  <c:v>RRHH</c:v>
                </c:pt>
                <c:pt idx="9">
                  <c:v>RRPP</c:v>
                </c:pt>
                <c:pt idx="10">
                  <c:v>SECPLA</c:v>
                </c:pt>
                <c:pt idx="11">
                  <c:v>CONTROL</c:v>
                </c:pt>
                <c:pt idx="12">
                  <c:v>SECMUN</c:v>
                </c:pt>
                <c:pt idx="13">
                  <c:v>ADMIN</c:v>
                </c:pt>
                <c:pt idx="14">
                  <c:v>JPL</c:v>
                </c:pt>
                <c:pt idx="15">
                  <c:v>SEGPUB</c:v>
                </c:pt>
              </c:strCache>
            </c:strRef>
          </c:cat>
          <c:val>
            <c:numRef>
              <c:f>Hoja1!$C$68:$C$83</c:f>
              <c:numCache>
                <c:formatCode>General</c:formatCode>
                <c:ptCount val="16"/>
                <c:pt idx="0">
                  <c:v>5</c:v>
                </c:pt>
                <c:pt idx="1">
                  <c:v>3</c:v>
                </c:pt>
                <c:pt idx="2">
                  <c:v>14</c:v>
                </c:pt>
                <c:pt idx="3">
                  <c:v>4</c:v>
                </c:pt>
                <c:pt idx="4">
                  <c:v>1</c:v>
                </c:pt>
                <c:pt idx="5">
                  <c:v>2</c:v>
                </c:pt>
                <c:pt idx="6">
                  <c:v>10</c:v>
                </c:pt>
                <c:pt idx="7">
                  <c:v>3</c:v>
                </c:pt>
                <c:pt idx="8">
                  <c:v>7</c:v>
                </c:pt>
                <c:pt idx="9">
                  <c:v>3</c:v>
                </c:pt>
                <c:pt idx="10">
                  <c:v>6</c:v>
                </c:pt>
                <c:pt idx="11">
                  <c:v>0</c:v>
                </c:pt>
                <c:pt idx="12">
                  <c:v>4</c:v>
                </c:pt>
                <c:pt idx="13">
                  <c:v>2</c:v>
                </c:pt>
                <c:pt idx="14">
                  <c:v>1</c:v>
                </c:pt>
                <c:pt idx="15">
                  <c:v>0</c:v>
                </c:pt>
              </c:numCache>
            </c:numRef>
          </c:val>
        </c:ser>
        <c:ser>
          <c:idx val="1"/>
          <c:order val="1"/>
          <c:tx>
            <c:strRef>
              <c:f>Hoja1!$D$67</c:f>
              <c:strCache>
                <c:ptCount val="1"/>
                <c:pt idx="0">
                  <c:v>Año 2017</c:v>
                </c:pt>
              </c:strCache>
            </c:strRef>
          </c:tx>
          <c:dLbls>
            <c:showVal val="1"/>
          </c:dLbls>
          <c:cat>
            <c:strRef>
              <c:f>Hoja1!$B$68:$B$83</c:f>
              <c:strCache>
                <c:ptCount val="16"/>
                <c:pt idx="0">
                  <c:v>DAF</c:v>
                </c:pt>
                <c:pt idx="1">
                  <c:v>JURIDICO</c:v>
                </c:pt>
                <c:pt idx="2">
                  <c:v>DIDECO</c:v>
                </c:pt>
                <c:pt idx="3">
                  <c:v>DAEM</c:v>
                </c:pt>
                <c:pt idx="4">
                  <c:v>SALUD</c:v>
                </c:pt>
                <c:pt idx="5">
                  <c:v>TRANSITO</c:v>
                </c:pt>
                <c:pt idx="6">
                  <c:v>ASEO</c:v>
                </c:pt>
                <c:pt idx="7">
                  <c:v>DOM</c:v>
                </c:pt>
                <c:pt idx="8">
                  <c:v>RRHH</c:v>
                </c:pt>
                <c:pt idx="9">
                  <c:v>RRPP</c:v>
                </c:pt>
                <c:pt idx="10">
                  <c:v>SECPLA</c:v>
                </c:pt>
                <c:pt idx="11">
                  <c:v>CONTROL</c:v>
                </c:pt>
                <c:pt idx="12">
                  <c:v>SECMUN</c:v>
                </c:pt>
                <c:pt idx="13">
                  <c:v>ADMIN</c:v>
                </c:pt>
                <c:pt idx="14">
                  <c:v>JPL</c:v>
                </c:pt>
                <c:pt idx="15">
                  <c:v>SEGPUB</c:v>
                </c:pt>
              </c:strCache>
            </c:strRef>
          </c:cat>
          <c:val>
            <c:numRef>
              <c:f>Hoja1!$D$68:$D$83</c:f>
              <c:numCache>
                <c:formatCode>General</c:formatCode>
                <c:ptCount val="16"/>
                <c:pt idx="0">
                  <c:v>11</c:v>
                </c:pt>
                <c:pt idx="1">
                  <c:v>3</c:v>
                </c:pt>
                <c:pt idx="2">
                  <c:v>15</c:v>
                </c:pt>
                <c:pt idx="3">
                  <c:v>11</c:v>
                </c:pt>
                <c:pt idx="4">
                  <c:v>4</c:v>
                </c:pt>
                <c:pt idx="5">
                  <c:v>4</c:v>
                </c:pt>
                <c:pt idx="6">
                  <c:v>7</c:v>
                </c:pt>
                <c:pt idx="7">
                  <c:v>8</c:v>
                </c:pt>
                <c:pt idx="8">
                  <c:v>10</c:v>
                </c:pt>
                <c:pt idx="9">
                  <c:v>3</c:v>
                </c:pt>
                <c:pt idx="10">
                  <c:v>3</c:v>
                </c:pt>
                <c:pt idx="11">
                  <c:v>1</c:v>
                </c:pt>
                <c:pt idx="12">
                  <c:v>5</c:v>
                </c:pt>
                <c:pt idx="13">
                  <c:v>0</c:v>
                </c:pt>
                <c:pt idx="14">
                  <c:v>1</c:v>
                </c:pt>
                <c:pt idx="15">
                  <c:v>0</c:v>
                </c:pt>
              </c:numCache>
            </c:numRef>
          </c:val>
        </c:ser>
        <c:ser>
          <c:idx val="2"/>
          <c:order val="2"/>
          <c:tx>
            <c:strRef>
              <c:f>Hoja1!$E$67</c:f>
              <c:strCache>
                <c:ptCount val="1"/>
                <c:pt idx="0">
                  <c:v>Año 2018</c:v>
                </c:pt>
              </c:strCache>
            </c:strRef>
          </c:tx>
          <c:dLbls>
            <c:showVal val="1"/>
          </c:dLbls>
          <c:cat>
            <c:strRef>
              <c:f>Hoja1!$B$68:$B$83</c:f>
              <c:strCache>
                <c:ptCount val="16"/>
                <c:pt idx="0">
                  <c:v>DAF</c:v>
                </c:pt>
                <c:pt idx="1">
                  <c:v>JURIDICO</c:v>
                </c:pt>
                <c:pt idx="2">
                  <c:v>DIDECO</c:v>
                </c:pt>
                <c:pt idx="3">
                  <c:v>DAEM</c:v>
                </c:pt>
                <c:pt idx="4">
                  <c:v>SALUD</c:v>
                </c:pt>
                <c:pt idx="5">
                  <c:v>TRANSITO</c:v>
                </c:pt>
                <c:pt idx="6">
                  <c:v>ASEO</c:v>
                </c:pt>
                <c:pt idx="7">
                  <c:v>DOM</c:v>
                </c:pt>
                <c:pt idx="8">
                  <c:v>RRHH</c:v>
                </c:pt>
                <c:pt idx="9">
                  <c:v>RRPP</c:v>
                </c:pt>
                <c:pt idx="10">
                  <c:v>SECPLA</c:v>
                </c:pt>
                <c:pt idx="11">
                  <c:v>CONTROL</c:v>
                </c:pt>
                <c:pt idx="12">
                  <c:v>SECMUN</c:v>
                </c:pt>
                <c:pt idx="13">
                  <c:v>ADMIN</c:v>
                </c:pt>
                <c:pt idx="14">
                  <c:v>JPL</c:v>
                </c:pt>
                <c:pt idx="15">
                  <c:v>SEGPUB</c:v>
                </c:pt>
              </c:strCache>
            </c:strRef>
          </c:cat>
          <c:val>
            <c:numRef>
              <c:f>Hoja1!$E$68:$E$83</c:f>
              <c:numCache>
                <c:formatCode>General</c:formatCode>
                <c:ptCount val="16"/>
                <c:pt idx="0">
                  <c:v>11</c:v>
                </c:pt>
                <c:pt idx="1">
                  <c:v>5</c:v>
                </c:pt>
                <c:pt idx="2">
                  <c:v>18</c:v>
                </c:pt>
                <c:pt idx="3">
                  <c:v>1</c:v>
                </c:pt>
                <c:pt idx="4">
                  <c:v>2</c:v>
                </c:pt>
                <c:pt idx="5">
                  <c:v>5</c:v>
                </c:pt>
                <c:pt idx="6">
                  <c:v>16</c:v>
                </c:pt>
                <c:pt idx="7">
                  <c:v>9</c:v>
                </c:pt>
                <c:pt idx="8">
                  <c:v>8</c:v>
                </c:pt>
                <c:pt idx="9">
                  <c:v>3</c:v>
                </c:pt>
                <c:pt idx="10">
                  <c:v>3</c:v>
                </c:pt>
                <c:pt idx="11">
                  <c:v>1</c:v>
                </c:pt>
                <c:pt idx="12">
                  <c:v>0</c:v>
                </c:pt>
                <c:pt idx="13">
                  <c:v>0</c:v>
                </c:pt>
                <c:pt idx="14">
                  <c:v>2</c:v>
                </c:pt>
                <c:pt idx="15">
                  <c:v>2</c:v>
                </c:pt>
              </c:numCache>
            </c:numRef>
          </c:val>
        </c:ser>
        <c:dLbls>
          <c:showVal val="1"/>
        </c:dLbls>
        <c:overlap val="-25"/>
        <c:axId val="113592960"/>
        <c:axId val="123687296"/>
      </c:barChart>
      <c:catAx>
        <c:axId val="113592960"/>
        <c:scaling>
          <c:orientation val="minMax"/>
        </c:scaling>
        <c:axPos val="b"/>
        <c:majorTickMark val="none"/>
        <c:tickLblPos val="nextTo"/>
        <c:crossAx val="123687296"/>
        <c:crosses val="autoZero"/>
        <c:auto val="1"/>
        <c:lblAlgn val="ctr"/>
        <c:lblOffset val="100"/>
      </c:catAx>
      <c:valAx>
        <c:axId val="123687296"/>
        <c:scaling>
          <c:orientation val="minMax"/>
        </c:scaling>
        <c:delete val="1"/>
        <c:axPos val="l"/>
        <c:numFmt formatCode="General" sourceLinked="1"/>
        <c:majorTickMark val="none"/>
        <c:tickLblPos val="nextTo"/>
        <c:crossAx val="113592960"/>
        <c:crosses val="autoZero"/>
        <c:crossBetween val="between"/>
      </c:valAx>
    </c:plotArea>
    <c:legend>
      <c:legendPos val="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6395-AA6A-4632-B364-84187E50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10</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10</cp:revision>
  <cp:lastPrinted>2018-07-20T15:57:00Z</cp:lastPrinted>
  <dcterms:created xsi:type="dcterms:W3CDTF">2019-01-22T13:20:00Z</dcterms:created>
  <dcterms:modified xsi:type="dcterms:W3CDTF">2019-03-11T15:34:00Z</dcterms:modified>
</cp:coreProperties>
</file>